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48E46" w14:textId="77777777" w:rsidR="00790DE8" w:rsidRPr="004E1E9D" w:rsidRDefault="00790DE8" w:rsidP="00D47952">
      <w:pPr>
        <w:spacing w:line="40" w:lineRule="exact"/>
        <w:rPr>
          <w:sz w:val="18"/>
          <w:szCs w:val="18"/>
        </w:rPr>
      </w:pPr>
    </w:p>
    <w:p w14:paraId="3073094B" w14:textId="77777777" w:rsidR="00790DE8" w:rsidRDefault="00790DE8">
      <w:pPr>
        <w:sectPr w:rsidR="00790DE8" w:rsidSect="005F501F">
          <w:headerReference w:type="default" r:id="rId8"/>
          <w:type w:val="continuous"/>
          <w:pgSz w:w="12240" w:h="15840" w:code="1"/>
          <w:pgMar w:top="2347" w:right="1440" w:bottom="1440" w:left="1440" w:header="720" w:footer="720" w:gutter="0"/>
          <w:cols w:space="720"/>
        </w:sectPr>
      </w:pPr>
    </w:p>
    <w:p w14:paraId="79A5E248" w14:textId="77777777" w:rsidR="00062CFA" w:rsidRDefault="001C7852" w:rsidP="00E12272">
      <w:pPr>
        <w:tabs>
          <w:tab w:val="left" w:pos="1170"/>
        </w:tabs>
        <w:rPr>
          <w:sz w:val="24"/>
          <w:szCs w:val="24"/>
        </w:rPr>
      </w:pPr>
      <w:r w:rsidRPr="00427E48">
        <w:rPr>
          <w:b/>
          <w:sz w:val="24"/>
          <w:szCs w:val="24"/>
        </w:rPr>
        <w:t>TO</w:t>
      </w:r>
      <w:r w:rsidR="00790DE8" w:rsidRPr="00427E48">
        <w:rPr>
          <w:b/>
          <w:sz w:val="24"/>
          <w:szCs w:val="24"/>
        </w:rPr>
        <w:t>:</w:t>
      </w:r>
      <w:r w:rsidR="00790DE8" w:rsidRPr="00427E48">
        <w:rPr>
          <w:sz w:val="24"/>
          <w:szCs w:val="24"/>
        </w:rPr>
        <w:tab/>
      </w:r>
      <w:r w:rsidR="0099243C">
        <w:rPr>
          <w:sz w:val="24"/>
          <w:szCs w:val="24"/>
        </w:rPr>
        <w:t>Floyd Walker</w:t>
      </w:r>
      <w:r w:rsidR="006F7D5C">
        <w:rPr>
          <w:sz w:val="24"/>
          <w:szCs w:val="24"/>
        </w:rPr>
        <w:t xml:space="preserve">, </w:t>
      </w:r>
      <w:r w:rsidR="00062CFA">
        <w:rPr>
          <w:sz w:val="24"/>
          <w:szCs w:val="24"/>
        </w:rPr>
        <w:t>Senior Counsel</w:t>
      </w:r>
    </w:p>
    <w:p w14:paraId="4838515F" w14:textId="771B3F38" w:rsidR="00E12272" w:rsidRPr="00427E48" w:rsidRDefault="00062CFA" w:rsidP="00E12272">
      <w:pPr>
        <w:tabs>
          <w:tab w:val="left" w:pos="1170"/>
        </w:tabs>
        <w:rPr>
          <w:sz w:val="24"/>
          <w:szCs w:val="24"/>
        </w:rPr>
      </w:pPr>
      <w:r>
        <w:rPr>
          <w:sz w:val="24"/>
          <w:szCs w:val="24"/>
        </w:rPr>
        <w:tab/>
        <w:t>Market Analysis</w:t>
      </w:r>
    </w:p>
    <w:p w14:paraId="5DB96B08" w14:textId="26203702" w:rsidR="00790DE8" w:rsidRPr="00427E48" w:rsidRDefault="00175BE7" w:rsidP="00E12272">
      <w:pPr>
        <w:tabs>
          <w:tab w:val="left" w:pos="1170"/>
        </w:tabs>
        <w:rPr>
          <w:sz w:val="24"/>
          <w:szCs w:val="24"/>
        </w:rPr>
      </w:pPr>
      <w:r>
        <w:rPr>
          <w:sz w:val="24"/>
          <w:szCs w:val="24"/>
        </w:rPr>
        <w:tab/>
      </w:r>
    </w:p>
    <w:p w14:paraId="1B01E5C6" w14:textId="77777777" w:rsidR="00062CFA" w:rsidRDefault="001C7852" w:rsidP="00062CFA">
      <w:pPr>
        <w:tabs>
          <w:tab w:val="left" w:pos="1170"/>
        </w:tabs>
        <w:ind w:left="720" w:hanging="720"/>
        <w:rPr>
          <w:sz w:val="24"/>
          <w:szCs w:val="24"/>
        </w:rPr>
      </w:pPr>
      <w:r w:rsidRPr="00427E48">
        <w:rPr>
          <w:b/>
          <w:sz w:val="24"/>
          <w:szCs w:val="24"/>
        </w:rPr>
        <w:t>FROM</w:t>
      </w:r>
      <w:r w:rsidR="00790DE8" w:rsidRPr="00427E48">
        <w:rPr>
          <w:b/>
          <w:sz w:val="24"/>
          <w:szCs w:val="24"/>
        </w:rPr>
        <w:t>:</w:t>
      </w:r>
      <w:r w:rsidR="00790DE8" w:rsidRPr="00427E48">
        <w:rPr>
          <w:b/>
          <w:sz w:val="24"/>
          <w:szCs w:val="24"/>
        </w:rPr>
        <w:tab/>
      </w:r>
      <w:r w:rsidR="00790DE8" w:rsidRPr="00427E48">
        <w:rPr>
          <w:sz w:val="24"/>
          <w:szCs w:val="24"/>
        </w:rPr>
        <w:t xml:space="preserve">Darryl Tietjen, </w:t>
      </w:r>
      <w:r w:rsidR="00062CFA">
        <w:rPr>
          <w:sz w:val="24"/>
          <w:szCs w:val="24"/>
        </w:rPr>
        <w:t>Division Director</w:t>
      </w:r>
    </w:p>
    <w:p w14:paraId="78F0E12B" w14:textId="1D432847" w:rsidR="00790DE8" w:rsidRDefault="00062CFA" w:rsidP="00062CFA">
      <w:pPr>
        <w:tabs>
          <w:tab w:val="left" w:pos="1170"/>
        </w:tabs>
        <w:ind w:left="720" w:hanging="720"/>
        <w:rPr>
          <w:b/>
          <w:sz w:val="24"/>
          <w:szCs w:val="24"/>
        </w:rPr>
      </w:pPr>
      <w:r>
        <w:rPr>
          <w:b/>
          <w:sz w:val="24"/>
          <w:szCs w:val="24"/>
        </w:rPr>
        <w:tab/>
      </w:r>
      <w:r>
        <w:rPr>
          <w:b/>
          <w:sz w:val="24"/>
          <w:szCs w:val="24"/>
        </w:rPr>
        <w:tab/>
      </w:r>
      <w:r w:rsidR="00790DE8" w:rsidRPr="00427E48">
        <w:rPr>
          <w:sz w:val="24"/>
          <w:szCs w:val="24"/>
        </w:rPr>
        <w:t>Rate Regulation</w:t>
      </w:r>
      <w:r w:rsidR="00790DE8" w:rsidRPr="00427E48">
        <w:rPr>
          <w:b/>
          <w:sz w:val="24"/>
          <w:szCs w:val="24"/>
        </w:rPr>
        <w:tab/>
      </w:r>
      <w:r w:rsidR="00790DE8" w:rsidRPr="00427E48">
        <w:rPr>
          <w:b/>
          <w:sz w:val="24"/>
          <w:szCs w:val="24"/>
        </w:rPr>
        <w:tab/>
      </w:r>
      <w:r w:rsidR="00790DE8" w:rsidRPr="00427E48">
        <w:rPr>
          <w:b/>
          <w:sz w:val="24"/>
          <w:szCs w:val="24"/>
        </w:rPr>
        <w:tab/>
      </w:r>
    </w:p>
    <w:p w14:paraId="133B226E" w14:textId="77777777" w:rsidR="00062CFA" w:rsidRPr="00427E48" w:rsidRDefault="00062CFA" w:rsidP="00062CFA">
      <w:pPr>
        <w:tabs>
          <w:tab w:val="left" w:pos="1170"/>
        </w:tabs>
        <w:ind w:left="720" w:hanging="720"/>
        <w:rPr>
          <w:b/>
          <w:sz w:val="24"/>
          <w:szCs w:val="24"/>
        </w:rPr>
      </w:pPr>
    </w:p>
    <w:p w14:paraId="43FA8CDC" w14:textId="4FA7E87A" w:rsidR="001C7852" w:rsidRPr="00427E48" w:rsidRDefault="001C7852" w:rsidP="001C7852">
      <w:pPr>
        <w:tabs>
          <w:tab w:val="left" w:pos="1170"/>
        </w:tabs>
        <w:rPr>
          <w:b/>
          <w:sz w:val="24"/>
          <w:szCs w:val="24"/>
        </w:rPr>
      </w:pPr>
      <w:r w:rsidRPr="00427E48">
        <w:rPr>
          <w:b/>
          <w:sz w:val="24"/>
          <w:szCs w:val="24"/>
        </w:rPr>
        <w:t>DATE:</w:t>
      </w:r>
      <w:r w:rsidRPr="00427E48">
        <w:rPr>
          <w:b/>
          <w:sz w:val="24"/>
          <w:szCs w:val="24"/>
        </w:rPr>
        <w:tab/>
      </w:r>
      <w:r w:rsidR="006F7D5C">
        <w:rPr>
          <w:sz w:val="24"/>
          <w:szCs w:val="24"/>
        </w:rPr>
        <w:t xml:space="preserve">February </w:t>
      </w:r>
      <w:r w:rsidR="00F338E1">
        <w:rPr>
          <w:sz w:val="24"/>
          <w:szCs w:val="24"/>
        </w:rPr>
        <w:t>16</w:t>
      </w:r>
      <w:r w:rsidR="006F7D5C">
        <w:rPr>
          <w:sz w:val="24"/>
          <w:szCs w:val="24"/>
        </w:rPr>
        <w:t>, 2022</w:t>
      </w:r>
    </w:p>
    <w:p w14:paraId="07F458AD" w14:textId="77777777" w:rsidR="001C7852" w:rsidRPr="00427E48" w:rsidRDefault="001C7852" w:rsidP="00C33290">
      <w:pPr>
        <w:tabs>
          <w:tab w:val="left" w:pos="1170"/>
        </w:tabs>
        <w:ind w:left="1170" w:hanging="1170"/>
        <w:rPr>
          <w:b/>
          <w:sz w:val="24"/>
          <w:szCs w:val="24"/>
        </w:rPr>
      </w:pPr>
    </w:p>
    <w:p w14:paraId="7C8B3A0E" w14:textId="77B3A72D" w:rsidR="00790DE8" w:rsidRPr="00427E48" w:rsidRDefault="001C7852" w:rsidP="00E149D9">
      <w:pPr>
        <w:tabs>
          <w:tab w:val="left" w:pos="1170"/>
        </w:tabs>
        <w:ind w:left="1170" w:hanging="1170"/>
        <w:jc w:val="both"/>
        <w:rPr>
          <w:bCs/>
          <w:sz w:val="24"/>
          <w:szCs w:val="24"/>
        </w:rPr>
      </w:pPr>
      <w:r w:rsidRPr="00427E48">
        <w:rPr>
          <w:b/>
          <w:sz w:val="24"/>
          <w:szCs w:val="24"/>
        </w:rPr>
        <w:t>RE</w:t>
      </w:r>
      <w:r w:rsidR="00790DE8" w:rsidRPr="00427E48">
        <w:rPr>
          <w:b/>
          <w:sz w:val="24"/>
          <w:szCs w:val="24"/>
        </w:rPr>
        <w:t>:</w:t>
      </w:r>
      <w:r w:rsidR="00790DE8" w:rsidRPr="00427E48">
        <w:rPr>
          <w:sz w:val="24"/>
          <w:szCs w:val="24"/>
        </w:rPr>
        <w:t xml:space="preserve"> </w:t>
      </w:r>
      <w:r w:rsidR="00790DE8" w:rsidRPr="00427E48">
        <w:rPr>
          <w:sz w:val="24"/>
          <w:szCs w:val="24"/>
        </w:rPr>
        <w:tab/>
      </w:r>
      <w:r w:rsidR="006F7D5C">
        <w:rPr>
          <w:bCs/>
          <w:sz w:val="24"/>
          <w:szCs w:val="24"/>
        </w:rPr>
        <w:t>Docke</w:t>
      </w:r>
      <w:r w:rsidR="00790DE8" w:rsidRPr="00427E48">
        <w:rPr>
          <w:bCs/>
          <w:sz w:val="24"/>
          <w:szCs w:val="24"/>
        </w:rPr>
        <w:t xml:space="preserve">t No. </w:t>
      </w:r>
      <w:r w:rsidR="006F7D5C">
        <w:rPr>
          <w:bCs/>
          <w:sz w:val="24"/>
          <w:szCs w:val="24"/>
        </w:rPr>
        <w:t>52709</w:t>
      </w:r>
      <w:r w:rsidR="00B26D2B" w:rsidRPr="00427E48">
        <w:rPr>
          <w:bCs/>
          <w:sz w:val="24"/>
          <w:szCs w:val="24"/>
        </w:rPr>
        <w:t xml:space="preserve"> – </w:t>
      </w:r>
      <w:r w:rsidR="006F7D5C">
        <w:rPr>
          <w:bCs/>
          <w:i/>
          <w:sz w:val="24"/>
          <w:szCs w:val="24"/>
        </w:rPr>
        <w:t>Compliance Filing for Docket No. 52321 (Application of Electric Reliability Council of Texas Inc. for a Debt Obligation Order Pursuant to Chapter 39, Subchapter M, of the Public Utility Regulatory Act)</w:t>
      </w:r>
    </w:p>
    <w:p w14:paraId="043F1809" w14:textId="77777777" w:rsidR="00790DE8" w:rsidRPr="00427E48" w:rsidRDefault="00790DE8" w:rsidP="00C33290">
      <w:pPr>
        <w:tabs>
          <w:tab w:val="left" w:pos="1170"/>
        </w:tabs>
        <w:rPr>
          <w:sz w:val="24"/>
          <w:szCs w:val="24"/>
        </w:rPr>
      </w:pPr>
    </w:p>
    <w:p w14:paraId="782933B6" w14:textId="4341429C" w:rsidR="00790DE8" w:rsidRPr="00427E48" w:rsidRDefault="000915C6" w:rsidP="00910BCD">
      <w:pPr>
        <w:tabs>
          <w:tab w:val="left" w:pos="1170"/>
        </w:tabs>
        <w:jc w:val="both"/>
        <w:rPr>
          <w:b/>
          <w:bCs/>
          <w:sz w:val="24"/>
          <w:szCs w:val="24"/>
          <w:u w:val="single"/>
        </w:rPr>
      </w:pPr>
      <w:r>
        <w:rPr>
          <w:b/>
          <w:bCs/>
          <w:sz w:val="24"/>
          <w:szCs w:val="24"/>
          <w:u w:val="single"/>
        </w:rPr>
        <w:t>Recommendation</w:t>
      </w:r>
      <w:r w:rsidR="003B4751">
        <w:rPr>
          <w:b/>
          <w:bCs/>
          <w:sz w:val="24"/>
          <w:szCs w:val="24"/>
          <w:u w:val="single"/>
        </w:rPr>
        <w:t>s</w:t>
      </w:r>
    </w:p>
    <w:p w14:paraId="5FB1D6AF" w14:textId="77777777" w:rsidR="00790DE8" w:rsidRPr="00427E48" w:rsidRDefault="00790DE8" w:rsidP="0008303D">
      <w:pPr>
        <w:tabs>
          <w:tab w:val="left" w:pos="1170"/>
        </w:tabs>
        <w:spacing w:line="80" w:lineRule="exact"/>
        <w:jc w:val="both"/>
        <w:rPr>
          <w:sz w:val="24"/>
          <w:szCs w:val="24"/>
        </w:rPr>
      </w:pPr>
    </w:p>
    <w:p w14:paraId="3F7F7C2D" w14:textId="003D7FAA" w:rsidR="00BF4E7E" w:rsidRDefault="000915C6" w:rsidP="00080430">
      <w:pPr>
        <w:tabs>
          <w:tab w:val="left" w:pos="1170"/>
        </w:tabs>
        <w:jc w:val="both"/>
        <w:rPr>
          <w:sz w:val="24"/>
          <w:szCs w:val="24"/>
        </w:rPr>
      </w:pPr>
      <w:r>
        <w:rPr>
          <w:sz w:val="24"/>
          <w:szCs w:val="24"/>
        </w:rPr>
        <w:t xml:space="preserve">On February 1, 2022, </w:t>
      </w:r>
      <w:r w:rsidRPr="000915C6">
        <w:rPr>
          <w:i/>
          <w:sz w:val="24"/>
          <w:szCs w:val="24"/>
        </w:rPr>
        <w:t>Order No. 1</w:t>
      </w:r>
      <w:r w:rsidR="00795CB9">
        <w:rPr>
          <w:i/>
          <w:sz w:val="24"/>
          <w:szCs w:val="24"/>
        </w:rPr>
        <w:t xml:space="preserve">, </w:t>
      </w:r>
      <w:r w:rsidRPr="000915C6">
        <w:rPr>
          <w:i/>
          <w:sz w:val="24"/>
          <w:szCs w:val="24"/>
        </w:rPr>
        <w:t>Requiring Commission Staff Recommendations</w:t>
      </w:r>
      <w:r>
        <w:rPr>
          <w:sz w:val="24"/>
          <w:szCs w:val="24"/>
        </w:rPr>
        <w:t xml:space="preserve"> was filed in this docket.  The order requires Commission S</w:t>
      </w:r>
      <w:r w:rsidR="00BF4E7E">
        <w:rPr>
          <w:sz w:val="24"/>
          <w:szCs w:val="24"/>
        </w:rPr>
        <w:t xml:space="preserve">taff to “make recommendations as to the sufficiency and completeness of ERCOT’s compliance filings, to date, whether any further action in this proceeding is necessary, and whether the docket may be closed.”  </w:t>
      </w:r>
    </w:p>
    <w:p w14:paraId="5594EC0F" w14:textId="77777777" w:rsidR="00BF4E7E" w:rsidRDefault="00BF4E7E" w:rsidP="00080430">
      <w:pPr>
        <w:tabs>
          <w:tab w:val="left" w:pos="1170"/>
        </w:tabs>
        <w:jc w:val="both"/>
        <w:rPr>
          <w:sz w:val="24"/>
          <w:szCs w:val="24"/>
        </w:rPr>
      </w:pPr>
    </w:p>
    <w:p w14:paraId="14DE45C3" w14:textId="307BF554" w:rsidR="00BF4E7E" w:rsidRDefault="00BF4E7E" w:rsidP="00080430">
      <w:pPr>
        <w:tabs>
          <w:tab w:val="left" w:pos="1170"/>
        </w:tabs>
        <w:jc w:val="both"/>
        <w:rPr>
          <w:sz w:val="24"/>
          <w:szCs w:val="24"/>
        </w:rPr>
      </w:pPr>
      <w:r>
        <w:rPr>
          <w:sz w:val="24"/>
          <w:szCs w:val="24"/>
        </w:rPr>
        <w:t xml:space="preserve">Regarding the sufficiency and completeness of ERCOT’s compliance filings </w:t>
      </w:r>
      <w:r w:rsidR="00E536E9">
        <w:rPr>
          <w:sz w:val="24"/>
          <w:szCs w:val="24"/>
        </w:rPr>
        <w:t>as of February 1, 2022</w:t>
      </w:r>
      <w:r>
        <w:rPr>
          <w:sz w:val="24"/>
          <w:szCs w:val="24"/>
        </w:rPr>
        <w:t xml:space="preserve">, </w:t>
      </w:r>
      <w:r w:rsidR="00E0305D">
        <w:rPr>
          <w:sz w:val="24"/>
          <w:szCs w:val="24"/>
        </w:rPr>
        <w:t xml:space="preserve">my recommendation is that those filings are </w:t>
      </w:r>
      <w:r>
        <w:rPr>
          <w:sz w:val="24"/>
          <w:szCs w:val="24"/>
        </w:rPr>
        <w:t xml:space="preserve">sufficient and complete.  </w:t>
      </w:r>
      <w:proofErr w:type="gramStart"/>
      <w:r w:rsidR="00561C0B">
        <w:rPr>
          <w:sz w:val="24"/>
          <w:szCs w:val="24"/>
        </w:rPr>
        <w:t>With regard to</w:t>
      </w:r>
      <w:proofErr w:type="gramEnd"/>
      <w:r w:rsidR="00561C0B">
        <w:rPr>
          <w:sz w:val="24"/>
          <w:szCs w:val="24"/>
        </w:rPr>
        <w:t xml:space="preserve"> any </w:t>
      </w:r>
      <w:r w:rsidR="00E536E9">
        <w:rPr>
          <w:sz w:val="24"/>
          <w:szCs w:val="24"/>
        </w:rPr>
        <w:t xml:space="preserve">subsequent </w:t>
      </w:r>
      <w:r w:rsidR="00E639EA">
        <w:rPr>
          <w:sz w:val="24"/>
          <w:szCs w:val="24"/>
        </w:rPr>
        <w:t>compliance</w:t>
      </w:r>
      <w:r w:rsidR="00561C0B">
        <w:rPr>
          <w:sz w:val="24"/>
          <w:szCs w:val="24"/>
        </w:rPr>
        <w:t xml:space="preserve"> filings, a</w:t>
      </w:r>
      <w:r>
        <w:rPr>
          <w:sz w:val="24"/>
          <w:szCs w:val="24"/>
        </w:rPr>
        <w:t xml:space="preserve">s discussed below, ERCOT is required to </w:t>
      </w:r>
      <w:r w:rsidR="00561C0B">
        <w:rPr>
          <w:sz w:val="24"/>
          <w:szCs w:val="24"/>
        </w:rPr>
        <w:t>file</w:t>
      </w:r>
      <w:r>
        <w:rPr>
          <w:sz w:val="24"/>
          <w:szCs w:val="24"/>
        </w:rPr>
        <w:t xml:space="preserve"> certain documents upon fi</w:t>
      </w:r>
      <w:r w:rsidR="00E0305D">
        <w:rPr>
          <w:sz w:val="24"/>
          <w:szCs w:val="24"/>
        </w:rPr>
        <w:t xml:space="preserve">nalization of </w:t>
      </w:r>
      <w:r w:rsidR="00561C0B">
        <w:rPr>
          <w:sz w:val="24"/>
          <w:szCs w:val="24"/>
        </w:rPr>
        <w:t>such</w:t>
      </w:r>
      <w:r w:rsidR="00E0305D">
        <w:rPr>
          <w:sz w:val="24"/>
          <w:szCs w:val="24"/>
        </w:rPr>
        <w:t xml:space="preserve"> documents, and at this time I </w:t>
      </w:r>
      <w:r w:rsidR="00795CB9">
        <w:rPr>
          <w:sz w:val="24"/>
          <w:szCs w:val="24"/>
        </w:rPr>
        <w:t>have</w:t>
      </w:r>
      <w:r w:rsidR="00E0305D">
        <w:rPr>
          <w:sz w:val="24"/>
          <w:szCs w:val="24"/>
        </w:rPr>
        <w:t xml:space="preserve"> no recommendations </w:t>
      </w:r>
      <w:r w:rsidR="00561C0B">
        <w:rPr>
          <w:sz w:val="24"/>
          <w:szCs w:val="24"/>
        </w:rPr>
        <w:t>on the sufficiency and completeness of those</w:t>
      </w:r>
      <w:r w:rsidR="00E0305D">
        <w:rPr>
          <w:sz w:val="24"/>
          <w:szCs w:val="24"/>
        </w:rPr>
        <w:t xml:space="preserve"> filings.</w:t>
      </w:r>
    </w:p>
    <w:p w14:paraId="282D0579" w14:textId="77777777" w:rsidR="00BF4E7E" w:rsidRDefault="00BF4E7E" w:rsidP="00080430">
      <w:pPr>
        <w:tabs>
          <w:tab w:val="left" w:pos="1170"/>
        </w:tabs>
        <w:jc w:val="both"/>
        <w:rPr>
          <w:sz w:val="24"/>
          <w:szCs w:val="24"/>
        </w:rPr>
      </w:pPr>
    </w:p>
    <w:p w14:paraId="67B22FB0" w14:textId="5E5AE38E" w:rsidR="00BF4E7E" w:rsidRDefault="00795CB9" w:rsidP="00080430">
      <w:pPr>
        <w:tabs>
          <w:tab w:val="left" w:pos="1170"/>
        </w:tabs>
        <w:jc w:val="both"/>
        <w:rPr>
          <w:sz w:val="24"/>
          <w:szCs w:val="24"/>
        </w:rPr>
      </w:pPr>
      <w:r>
        <w:rPr>
          <w:sz w:val="24"/>
          <w:szCs w:val="24"/>
        </w:rPr>
        <w:t xml:space="preserve">Regarding the question of whether this compliance docket may be closed, </w:t>
      </w:r>
      <w:r w:rsidR="00BF4E7E">
        <w:rPr>
          <w:sz w:val="24"/>
          <w:szCs w:val="24"/>
        </w:rPr>
        <w:t xml:space="preserve">I recommend that </w:t>
      </w:r>
      <w:r>
        <w:rPr>
          <w:sz w:val="24"/>
          <w:szCs w:val="24"/>
        </w:rPr>
        <w:t>it</w:t>
      </w:r>
      <w:r w:rsidR="00BF4E7E">
        <w:rPr>
          <w:sz w:val="24"/>
          <w:szCs w:val="24"/>
        </w:rPr>
        <w:t xml:space="preserve"> </w:t>
      </w:r>
      <w:r>
        <w:rPr>
          <w:sz w:val="24"/>
          <w:szCs w:val="24"/>
        </w:rPr>
        <w:t>remain open</w:t>
      </w:r>
      <w:r w:rsidR="00BF4E7E">
        <w:rPr>
          <w:sz w:val="24"/>
          <w:szCs w:val="24"/>
        </w:rPr>
        <w:t xml:space="preserve"> for the </w:t>
      </w:r>
      <w:r w:rsidR="00E149D9">
        <w:rPr>
          <w:sz w:val="24"/>
          <w:szCs w:val="24"/>
        </w:rPr>
        <w:t>entirety</w:t>
      </w:r>
      <w:r w:rsidR="00BF4E7E">
        <w:rPr>
          <w:sz w:val="24"/>
          <w:szCs w:val="24"/>
        </w:rPr>
        <w:t xml:space="preserve"> of the </w:t>
      </w:r>
      <w:r w:rsidR="002D150F">
        <w:rPr>
          <w:sz w:val="24"/>
          <w:szCs w:val="24"/>
        </w:rPr>
        <w:t xml:space="preserve">securitized </w:t>
      </w:r>
      <w:r w:rsidR="00BF4E7E">
        <w:rPr>
          <w:sz w:val="24"/>
          <w:szCs w:val="24"/>
        </w:rPr>
        <w:t>bonds</w:t>
      </w:r>
      <w:r>
        <w:rPr>
          <w:sz w:val="24"/>
          <w:szCs w:val="24"/>
        </w:rPr>
        <w:t>’ life</w:t>
      </w:r>
      <w:r w:rsidR="000B4B11">
        <w:rPr>
          <w:sz w:val="24"/>
          <w:szCs w:val="24"/>
        </w:rPr>
        <w:t>.  The key basis</w:t>
      </w:r>
      <w:r w:rsidR="00266C61">
        <w:rPr>
          <w:sz w:val="24"/>
          <w:szCs w:val="24"/>
        </w:rPr>
        <w:t xml:space="preserve"> for this </w:t>
      </w:r>
      <w:r w:rsidR="00BF4E7E">
        <w:rPr>
          <w:sz w:val="24"/>
          <w:szCs w:val="24"/>
        </w:rPr>
        <w:t xml:space="preserve">recommendation </w:t>
      </w:r>
      <w:r w:rsidR="000B4B11">
        <w:rPr>
          <w:sz w:val="24"/>
          <w:szCs w:val="24"/>
        </w:rPr>
        <w:t xml:space="preserve">is </w:t>
      </w:r>
      <w:r w:rsidR="00BF4E7E">
        <w:rPr>
          <w:sz w:val="24"/>
          <w:szCs w:val="24"/>
        </w:rPr>
        <w:t>in the Commission’s Debt Obligation Order</w:t>
      </w:r>
      <w:r w:rsidR="000B4B11">
        <w:rPr>
          <w:sz w:val="24"/>
          <w:szCs w:val="24"/>
        </w:rPr>
        <w:t xml:space="preserve">, Ordering Paragraph 15A, which requires </w:t>
      </w:r>
      <w:r w:rsidR="00FA24DB">
        <w:rPr>
          <w:sz w:val="24"/>
          <w:szCs w:val="24"/>
        </w:rPr>
        <w:t xml:space="preserve">the filing in this compliance docket (Docket No. 52709) of </w:t>
      </w:r>
      <w:r w:rsidR="000B4B11">
        <w:rPr>
          <w:sz w:val="24"/>
          <w:szCs w:val="24"/>
        </w:rPr>
        <w:t xml:space="preserve">all </w:t>
      </w:r>
      <w:r w:rsidR="00E149D9">
        <w:rPr>
          <w:sz w:val="24"/>
          <w:szCs w:val="24"/>
        </w:rPr>
        <w:t>true-up</w:t>
      </w:r>
      <w:r w:rsidR="00BF4E7E">
        <w:rPr>
          <w:sz w:val="24"/>
          <w:szCs w:val="24"/>
        </w:rPr>
        <w:t xml:space="preserve"> </w:t>
      </w:r>
      <w:r w:rsidR="00FA24DB">
        <w:rPr>
          <w:sz w:val="24"/>
          <w:szCs w:val="24"/>
        </w:rPr>
        <w:t xml:space="preserve">reports and </w:t>
      </w:r>
      <w:r w:rsidR="00BF4E7E">
        <w:rPr>
          <w:sz w:val="24"/>
          <w:szCs w:val="24"/>
        </w:rPr>
        <w:t>filings</w:t>
      </w:r>
      <w:r w:rsidR="00E639EA">
        <w:rPr>
          <w:sz w:val="24"/>
          <w:szCs w:val="24"/>
        </w:rPr>
        <w:t>—</w:t>
      </w:r>
      <w:r w:rsidR="00E149D9">
        <w:rPr>
          <w:sz w:val="24"/>
          <w:szCs w:val="24"/>
        </w:rPr>
        <w:t xml:space="preserve">and </w:t>
      </w:r>
      <w:r w:rsidR="00561C0B">
        <w:rPr>
          <w:sz w:val="24"/>
          <w:szCs w:val="24"/>
        </w:rPr>
        <w:t>such</w:t>
      </w:r>
      <w:r w:rsidR="00E149D9">
        <w:rPr>
          <w:sz w:val="24"/>
          <w:szCs w:val="24"/>
        </w:rPr>
        <w:t xml:space="preserve"> true-up filings include</w:t>
      </w:r>
      <w:r w:rsidR="002D150F">
        <w:rPr>
          <w:sz w:val="24"/>
          <w:szCs w:val="24"/>
        </w:rPr>
        <w:t xml:space="preserve"> the </w:t>
      </w:r>
      <w:r w:rsidR="002D150F" w:rsidRPr="002D150F">
        <w:rPr>
          <w:b/>
          <w:i/>
          <w:sz w:val="24"/>
          <w:szCs w:val="24"/>
        </w:rPr>
        <w:t>annual</w:t>
      </w:r>
      <w:r w:rsidR="002D150F">
        <w:rPr>
          <w:sz w:val="24"/>
          <w:szCs w:val="24"/>
        </w:rPr>
        <w:t xml:space="preserve"> filings mandated by F</w:t>
      </w:r>
      <w:r w:rsidR="00266C61">
        <w:rPr>
          <w:sz w:val="24"/>
          <w:szCs w:val="24"/>
        </w:rPr>
        <w:t>inding</w:t>
      </w:r>
      <w:r w:rsidR="002D150F">
        <w:rPr>
          <w:sz w:val="24"/>
          <w:szCs w:val="24"/>
        </w:rPr>
        <w:t xml:space="preserve"> of Fact 65</w:t>
      </w:r>
      <w:r w:rsidR="00266C61">
        <w:rPr>
          <w:sz w:val="24"/>
          <w:szCs w:val="24"/>
        </w:rPr>
        <w:t xml:space="preserve"> </w:t>
      </w:r>
      <w:r w:rsidR="002D150F">
        <w:rPr>
          <w:sz w:val="24"/>
          <w:szCs w:val="24"/>
        </w:rPr>
        <w:t>in the Debt Obligation Order.</w:t>
      </w:r>
      <w:r w:rsidR="00E0305D">
        <w:rPr>
          <w:sz w:val="24"/>
          <w:szCs w:val="24"/>
        </w:rPr>
        <w:t xml:space="preserve">  Accordingly, I recommend that this</w:t>
      </w:r>
      <w:r w:rsidR="003B4751">
        <w:rPr>
          <w:sz w:val="24"/>
          <w:szCs w:val="24"/>
        </w:rPr>
        <w:t xml:space="preserve"> compliance</w:t>
      </w:r>
      <w:r w:rsidR="00E0305D">
        <w:rPr>
          <w:sz w:val="24"/>
          <w:szCs w:val="24"/>
        </w:rPr>
        <w:t xml:space="preserve"> docket remain open until the </w:t>
      </w:r>
      <w:r w:rsidR="000B4B11">
        <w:rPr>
          <w:sz w:val="24"/>
          <w:szCs w:val="24"/>
        </w:rPr>
        <w:t xml:space="preserve">securitized </w:t>
      </w:r>
      <w:r w:rsidR="00E0305D">
        <w:rPr>
          <w:sz w:val="24"/>
          <w:szCs w:val="24"/>
        </w:rPr>
        <w:t xml:space="preserve">bonds </w:t>
      </w:r>
      <w:r w:rsidR="003B4751">
        <w:rPr>
          <w:sz w:val="24"/>
          <w:szCs w:val="24"/>
        </w:rPr>
        <w:t xml:space="preserve">have </w:t>
      </w:r>
      <w:r w:rsidR="00CE2C5B">
        <w:rPr>
          <w:sz w:val="24"/>
          <w:szCs w:val="24"/>
        </w:rPr>
        <w:t>mature</w:t>
      </w:r>
      <w:r w:rsidR="003B4751">
        <w:rPr>
          <w:sz w:val="24"/>
          <w:szCs w:val="24"/>
        </w:rPr>
        <w:t xml:space="preserve">d and </w:t>
      </w:r>
      <w:r w:rsidR="00E149D9">
        <w:rPr>
          <w:sz w:val="24"/>
          <w:szCs w:val="24"/>
        </w:rPr>
        <w:t xml:space="preserve">have </w:t>
      </w:r>
      <w:r w:rsidR="003B4751">
        <w:rPr>
          <w:sz w:val="24"/>
          <w:szCs w:val="24"/>
        </w:rPr>
        <w:t>been</w:t>
      </w:r>
      <w:r w:rsidR="00E0305D">
        <w:rPr>
          <w:sz w:val="24"/>
          <w:szCs w:val="24"/>
        </w:rPr>
        <w:t xml:space="preserve"> </w:t>
      </w:r>
      <w:r>
        <w:rPr>
          <w:sz w:val="24"/>
          <w:szCs w:val="24"/>
        </w:rPr>
        <w:t xml:space="preserve">fully </w:t>
      </w:r>
      <w:r w:rsidR="00E0305D">
        <w:rPr>
          <w:sz w:val="24"/>
          <w:szCs w:val="24"/>
        </w:rPr>
        <w:t>repaid.</w:t>
      </w:r>
    </w:p>
    <w:p w14:paraId="56F849B9" w14:textId="77777777" w:rsidR="00563822" w:rsidRPr="005F524B" w:rsidRDefault="00563822" w:rsidP="00DA6FD5">
      <w:pPr>
        <w:adjustRightInd/>
        <w:spacing w:after="120"/>
        <w:jc w:val="both"/>
        <w:textAlignment w:val="auto"/>
        <w:rPr>
          <w:sz w:val="24"/>
          <w:szCs w:val="24"/>
        </w:rPr>
      </w:pPr>
    </w:p>
    <w:p w14:paraId="0E311D25" w14:textId="0E5843B6" w:rsidR="00053639" w:rsidRPr="005F524B" w:rsidRDefault="0001161D" w:rsidP="00053639">
      <w:pPr>
        <w:adjustRightInd/>
        <w:jc w:val="both"/>
        <w:textAlignment w:val="auto"/>
        <w:rPr>
          <w:b/>
          <w:bCs/>
          <w:sz w:val="24"/>
          <w:szCs w:val="24"/>
          <w:u w:val="single"/>
        </w:rPr>
      </w:pPr>
      <w:r w:rsidRPr="005F524B">
        <w:rPr>
          <w:b/>
          <w:bCs/>
          <w:sz w:val="24"/>
          <w:szCs w:val="24"/>
          <w:u w:val="single"/>
        </w:rPr>
        <w:t>Discussion</w:t>
      </w:r>
    </w:p>
    <w:p w14:paraId="0D37CD3E" w14:textId="77777777" w:rsidR="00053639" w:rsidRPr="005F524B" w:rsidRDefault="00053639" w:rsidP="00053639">
      <w:pPr>
        <w:adjustRightInd/>
        <w:spacing w:line="80" w:lineRule="exact"/>
        <w:jc w:val="both"/>
        <w:textAlignment w:val="auto"/>
        <w:rPr>
          <w:sz w:val="24"/>
          <w:szCs w:val="24"/>
        </w:rPr>
      </w:pPr>
    </w:p>
    <w:p w14:paraId="59ABAA84" w14:textId="43475518" w:rsidR="005F524B" w:rsidRPr="005F524B" w:rsidRDefault="005F524B" w:rsidP="002D150F">
      <w:pPr>
        <w:adjustRightInd/>
        <w:jc w:val="both"/>
        <w:textAlignment w:val="auto"/>
        <w:rPr>
          <w:sz w:val="24"/>
          <w:szCs w:val="24"/>
        </w:rPr>
      </w:pPr>
      <w:r>
        <w:rPr>
          <w:sz w:val="24"/>
          <w:szCs w:val="24"/>
        </w:rPr>
        <w:t xml:space="preserve">The Commission’s Debt Obligation Order in Docket No. 52321 includes a number of </w:t>
      </w:r>
      <w:proofErr w:type="gramStart"/>
      <w:r w:rsidR="003B4751">
        <w:rPr>
          <w:sz w:val="24"/>
          <w:szCs w:val="24"/>
        </w:rPr>
        <w:t>compliance</w:t>
      </w:r>
      <w:proofErr w:type="gramEnd"/>
      <w:r w:rsidR="003B4751">
        <w:rPr>
          <w:sz w:val="24"/>
          <w:szCs w:val="24"/>
        </w:rPr>
        <w:t xml:space="preserve"> </w:t>
      </w:r>
      <w:r>
        <w:rPr>
          <w:sz w:val="24"/>
          <w:szCs w:val="24"/>
        </w:rPr>
        <w:t xml:space="preserve">filing requirements for ERCOT.  </w:t>
      </w:r>
      <w:r w:rsidRPr="005F524B">
        <w:rPr>
          <w:sz w:val="24"/>
          <w:szCs w:val="24"/>
        </w:rPr>
        <w:t>Ordering Paragraph 33A states the following:</w:t>
      </w:r>
    </w:p>
    <w:p w14:paraId="484493C5" w14:textId="77777777" w:rsidR="005F524B" w:rsidRPr="005F524B" w:rsidRDefault="005F524B" w:rsidP="002D150F">
      <w:pPr>
        <w:adjustRightInd/>
        <w:jc w:val="both"/>
        <w:textAlignment w:val="auto"/>
        <w:rPr>
          <w:sz w:val="24"/>
          <w:szCs w:val="24"/>
        </w:rPr>
      </w:pPr>
    </w:p>
    <w:p w14:paraId="09E5D7B8" w14:textId="5CD1D1A9" w:rsidR="005F524B" w:rsidRPr="005F524B" w:rsidRDefault="005F524B" w:rsidP="005F524B">
      <w:pPr>
        <w:adjustRightInd/>
        <w:ind w:left="720" w:right="720"/>
        <w:jc w:val="both"/>
        <w:textAlignment w:val="auto"/>
        <w:rPr>
          <w:sz w:val="24"/>
          <w:szCs w:val="24"/>
        </w:rPr>
      </w:pPr>
      <w:r w:rsidRPr="005F524B">
        <w:rPr>
          <w:sz w:val="24"/>
          <w:szCs w:val="24"/>
        </w:rPr>
        <w:t xml:space="preserve">ERCOT must file a copy of the administrative agreement, indenture, limited liability company agreement, servicing agreement, purchase and sale agreements and any agreement it or </w:t>
      </w:r>
      <w:proofErr w:type="spellStart"/>
      <w:r w:rsidRPr="005F524B">
        <w:rPr>
          <w:sz w:val="24"/>
          <w:szCs w:val="24"/>
        </w:rPr>
        <w:t>BondCo</w:t>
      </w:r>
      <w:proofErr w:type="spellEnd"/>
      <w:r w:rsidRPr="005F524B">
        <w:rPr>
          <w:sz w:val="24"/>
          <w:szCs w:val="24"/>
        </w:rPr>
        <w:t xml:space="preserve"> </w:t>
      </w:r>
      <w:proofErr w:type="gramStart"/>
      <w:r w:rsidRPr="005F524B">
        <w:rPr>
          <w:sz w:val="24"/>
          <w:szCs w:val="24"/>
        </w:rPr>
        <w:t>enter into</w:t>
      </w:r>
      <w:proofErr w:type="gramEnd"/>
      <w:r w:rsidRPr="005F524B">
        <w:rPr>
          <w:sz w:val="24"/>
          <w:szCs w:val="24"/>
        </w:rPr>
        <w:t xml:space="preserve"> in relation to the debt financing mechanism approved in this Order, including any amendments to such agreements.</w:t>
      </w:r>
    </w:p>
    <w:p w14:paraId="51915794" w14:textId="306F1B1C" w:rsidR="005F524B" w:rsidRDefault="005F524B" w:rsidP="002D150F">
      <w:pPr>
        <w:adjustRightInd/>
        <w:jc w:val="both"/>
        <w:textAlignment w:val="auto"/>
        <w:rPr>
          <w:sz w:val="24"/>
          <w:szCs w:val="24"/>
        </w:rPr>
      </w:pPr>
    </w:p>
    <w:p w14:paraId="4FD9A946" w14:textId="7F727540" w:rsidR="005F524B" w:rsidRPr="005F524B" w:rsidRDefault="0099243C" w:rsidP="00F338E1">
      <w:pPr>
        <w:keepNext/>
        <w:adjustRightInd/>
        <w:jc w:val="both"/>
        <w:textAlignment w:val="auto"/>
        <w:rPr>
          <w:sz w:val="24"/>
          <w:szCs w:val="24"/>
        </w:rPr>
      </w:pPr>
      <w:r>
        <w:rPr>
          <w:sz w:val="24"/>
          <w:szCs w:val="24"/>
        </w:rPr>
        <w:lastRenderedPageBreak/>
        <w:t xml:space="preserve">Similarly, </w:t>
      </w:r>
      <w:r w:rsidR="005F524B" w:rsidRPr="005F524B">
        <w:rPr>
          <w:sz w:val="24"/>
          <w:szCs w:val="24"/>
        </w:rPr>
        <w:t>Ordering Paragraph 38 states</w:t>
      </w:r>
      <w:r w:rsidR="005F524B">
        <w:rPr>
          <w:sz w:val="24"/>
          <w:szCs w:val="24"/>
        </w:rPr>
        <w:t>:</w:t>
      </w:r>
    </w:p>
    <w:p w14:paraId="4A001D7B" w14:textId="77777777" w:rsidR="005F524B" w:rsidRPr="005F524B" w:rsidRDefault="005F524B" w:rsidP="002D150F">
      <w:pPr>
        <w:adjustRightInd/>
        <w:jc w:val="both"/>
        <w:textAlignment w:val="auto"/>
        <w:rPr>
          <w:sz w:val="24"/>
          <w:szCs w:val="24"/>
        </w:rPr>
      </w:pPr>
    </w:p>
    <w:p w14:paraId="6DB36795" w14:textId="5D890EDB" w:rsidR="005F524B" w:rsidRPr="005F524B" w:rsidRDefault="005F524B" w:rsidP="005F524B">
      <w:pPr>
        <w:adjustRightInd/>
        <w:ind w:left="720" w:right="720"/>
        <w:jc w:val="both"/>
        <w:textAlignment w:val="auto"/>
        <w:rPr>
          <w:sz w:val="24"/>
          <w:szCs w:val="24"/>
        </w:rPr>
      </w:pPr>
      <w:r w:rsidRPr="003B4751">
        <w:rPr>
          <w:sz w:val="24"/>
          <w:szCs w:val="24"/>
          <w:u w:val="single"/>
        </w:rPr>
        <w:t>Internal Revenue Service P</w:t>
      </w:r>
      <w:r w:rsidR="003B4751" w:rsidRPr="003B4751">
        <w:rPr>
          <w:sz w:val="24"/>
          <w:szCs w:val="24"/>
          <w:u w:val="single"/>
        </w:rPr>
        <w:t>rivate Letter or Other Rulings</w:t>
      </w:r>
      <w:r w:rsidR="003B4751">
        <w:rPr>
          <w:sz w:val="24"/>
          <w:szCs w:val="24"/>
        </w:rPr>
        <w:t xml:space="preserve">.  </w:t>
      </w:r>
      <w:r w:rsidRPr="005F524B">
        <w:rPr>
          <w:sz w:val="24"/>
          <w:szCs w:val="24"/>
        </w:rPr>
        <w:t xml:space="preserve">ERCOT must obtain either a United States Internal Revenue Service (IRS) ruling (e.g., a private letter ruling) or an opinion of tax counsel sufficient to support the issuance of the bonds to issue the subchapter M bonds.  If ERCOT obtains a ruling from the IRS with respect to the proposed transaction, the subchapter M bonds, or any other related matter, then upon receipt, ERCOT </w:t>
      </w:r>
      <w:r w:rsidRPr="00A04DA2">
        <w:rPr>
          <w:i/>
          <w:sz w:val="24"/>
          <w:szCs w:val="24"/>
        </w:rPr>
        <w:t>must promptly file</w:t>
      </w:r>
      <w:r w:rsidRPr="005F524B">
        <w:rPr>
          <w:sz w:val="24"/>
          <w:szCs w:val="24"/>
        </w:rPr>
        <w:t xml:space="preserve"> a copy of each such private letter or other ruling issued by the IRS </w:t>
      </w:r>
      <w:r w:rsidRPr="00A04DA2">
        <w:rPr>
          <w:i/>
          <w:sz w:val="24"/>
          <w:szCs w:val="24"/>
        </w:rPr>
        <w:t>in the compliance docket for this proceeding</w:t>
      </w:r>
      <w:r w:rsidR="00A04DA2">
        <w:rPr>
          <w:sz w:val="24"/>
          <w:szCs w:val="24"/>
        </w:rPr>
        <w:t xml:space="preserve"> [emphasis added].</w:t>
      </w:r>
      <w:r w:rsidRPr="005F524B">
        <w:rPr>
          <w:sz w:val="24"/>
          <w:szCs w:val="24"/>
        </w:rPr>
        <w:t xml:space="preserve">  ERCOT must also include a copy of every such ruling by the IRS it has received as an attachment to each issuance advice letter required to be filed by this Order</w:t>
      </w:r>
    </w:p>
    <w:p w14:paraId="5DBBB5A0" w14:textId="77777777" w:rsidR="005F524B" w:rsidRPr="005F524B" w:rsidRDefault="005F524B" w:rsidP="002D150F">
      <w:pPr>
        <w:adjustRightInd/>
        <w:jc w:val="both"/>
        <w:textAlignment w:val="auto"/>
        <w:rPr>
          <w:sz w:val="24"/>
          <w:szCs w:val="24"/>
        </w:rPr>
      </w:pPr>
    </w:p>
    <w:p w14:paraId="0E6E2073" w14:textId="16365E9E" w:rsidR="00561C0B" w:rsidRDefault="00561C0B" w:rsidP="00561C0B">
      <w:pPr>
        <w:adjustRightInd/>
        <w:jc w:val="both"/>
        <w:textAlignment w:val="auto"/>
        <w:rPr>
          <w:sz w:val="24"/>
          <w:szCs w:val="24"/>
        </w:rPr>
      </w:pPr>
      <w:r>
        <w:rPr>
          <w:sz w:val="24"/>
          <w:szCs w:val="24"/>
        </w:rPr>
        <w:t xml:space="preserve">As of </w:t>
      </w:r>
      <w:r w:rsidR="006D5977">
        <w:rPr>
          <w:sz w:val="24"/>
          <w:szCs w:val="24"/>
        </w:rPr>
        <w:t>February 1, 2022</w:t>
      </w:r>
      <w:r>
        <w:rPr>
          <w:sz w:val="24"/>
          <w:szCs w:val="24"/>
        </w:rPr>
        <w:t>, ERCOT ha</w:t>
      </w:r>
      <w:r w:rsidR="008B06F4">
        <w:rPr>
          <w:sz w:val="24"/>
          <w:szCs w:val="24"/>
        </w:rPr>
        <w:t>d</w:t>
      </w:r>
      <w:r>
        <w:rPr>
          <w:sz w:val="24"/>
          <w:szCs w:val="24"/>
        </w:rPr>
        <w:t xml:space="preserve"> not yet filed </w:t>
      </w:r>
      <w:r w:rsidR="00E639EA">
        <w:rPr>
          <w:sz w:val="24"/>
          <w:szCs w:val="24"/>
        </w:rPr>
        <w:t xml:space="preserve">any of </w:t>
      </w:r>
      <w:r>
        <w:rPr>
          <w:sz w:val="24"/>
          <w:szCs w:val="24"/>
        </w:rPr>
        <w:t xml:space="preserve">the documents referenced in Ordering Paragraphs 33 and 38.  </w:t>
      </w:r>
      <w:r w:rsidR="004D7424">
        <w:rPr>
          <w:sz w:val="24"/>
          <w:szCs w:val="24"/>
        </w:rPr>
        <w:t xml:space="preserve">On February 14, 2022, </w:t>
      </w:r>
      <w:r w:rsidR="006D5977">
        <w:rPr>
          <w:sz w:val="24"/>
          <w:szCs w:val="24"/>
        </w:rPr>
        <w:t>ERCOT</w:t>
      </w:r>
      <w:r w:rsidR="00176FC2">
        <w:rPr>
          <w:sz w:val="24"/>
          <w:szCs w:val="24"/>
        </w:rPr>
        <w:t xml:space="preserve"> </w:t>
      </w:r>
      <w:r w:rsidR="004D7424">
        <w:rPr>
          <w:sz w:val="24"/>
          <w:szCs w:val="24"/>
        </w:rPr>
        <w:t xml:space="preserve">filed some of the referenced documents. </w:t>
      </w:r>
      <w:r w:rsidR="00F338E1">
        <w:rPr>
          <w:sz w:val="24"/>
          <w:szCs w:val="24"/>
        </w:rPr>
        <w:t xml:space="preserve"> </w:t>
      </w:r>
      <w:r w:rsidR="004D7424">
        <w:rPr>
          <w:sz w:val="24"/>
          <w:szCs w:val="24"/>
        </w:rPr>
        <w:t>However,</w:t>
      </w:r>
      <w:r>
        <w:rPr>
          <w:sz w:val="24"/>
          <w:szCs w:val="24"/>
        </w:rPr>
        <w:t xml:space="preserve"> </w:t>
      </w:r>
      <w:proofErr w:type="gramStart"/>
      <w:r>
        <w:rPr>
          <w:sz w:val="24"/>
          <w:szCs w:val="24"/>
        </w:rPr>
        <w:t>at this time</w:t>
      </w:r>
      <w:proofErr w:type="gramEnd"/>
      <w:r>
        <w:rPr>
          <w:sz w:val="24"/>
          <w:szCs w:val="24"/>
        </w:rPr>
        <w:t xml:space="preserve"> I am unable to make a recommendation on their sufficiency and completeness.</w:t>
      </w:r>
    </w:p>
    <w:p w14:paraId="5C3C3FF2" w14:textId="77777777" w:rsidR="00561C0B" w:rsidRDefault="00561C0B" w:rsidP="002D150F">
      <w:pPr>
        <w:adjustRightInd/>
        <w:jc w:val="both"/>
        <w:textAlignment w:val="auto"/>
        <w:rPr>
          <w:sz w:val="24"/>
          <w:szCs w:val="24"/>
        </w:rPr>
      </w:pPr>
    </w:p>
    <w:p w14:paraId="25C6AACA" w14:textId="5CFD9EBF" w:rsidR="005F524B" w:rsidRPr="005F524B" w:rsidRDefault="00561C0B" w:rsidP="002D150F">
      <w:pPr>
        <w:adjustRightInd/>
        <w:jc w:val="both"/>
        <w:textAlignment w:val="auto"/>
        <w:rPr>
          <w:sz w:val="24"/>
          <w:szCs w:val="24"/>
        </w:rPr>
      </w:pPr>
      <w:r>
        <w:rPr>
          <w:sz w:val="24"/>
          <w:szCs w:val="24"/>
        </w:rPr>
        <w:t>A</w:t>
      </w:r>
      <w:r w:rsidR="005F524B" w:rsidRPr="005F524B">
        <w:rPr>
          <w:sz w:val="24"/>
          <w:szCs w:val="24"/>
        </w:rPr>
        <w:t xml:space="preserve">s noted </w:t>
      </w:r>
      <w:r w:rsidR="003B4751">
        <w:rPr>
          <w:sz w:val="24"/>
          <w:szCs w:val="24"/>
        </w:rPr>
        <w:t>previously</w:t>
      </w:r>
      <w:r w:rsidR="005F524B" w:rsidRPr="005F524B">
        <w:rPr>
          <w:sz w:val="24"/>
          <w:szCs w:val="24"/>
        </w:rPr>
        <w:t>, Ordering Paragraph 15A states the following:</w:t>
      </w:r>
    </w:p>
    <w:p w14:paraId="39FC3265" w14:textId="77777777" w:rsidR="005F524B" w:rsidRPr="005F524B" w:rsidRDefault="005F524B" w:rsidP="002D150F">
      <w:pPr>
        <w:adjustRightInd/>
        <w:jc w:val="both"/>
        <w:textAlignment w:val="auto"/>
        <w:rPr>
          <w:sz w:val="24"/>
          <w:szCs w:val="24"/>
        </w:rPr>
      </w:pPr>
    </w:p>
    <w:p w14:paraId="1B26252F" w14:textId="6E0BBDE0" w:rsidR="005F524B" w:rsidRPr="003B4751" w:rsidRDefault="005F524B" w:rsidP="005F524B">
      <w:pPr>
        <w:adjustRightInd/>
        <w:ind w:left="720" w:right="720"/>
        <w:jc w:val="both"/>
        <w:textAlignment w:val="auto"/>
        <w:rPr>
          <w:sz w:val="24"/>
          <w:szCs w:val="24"/>
        </w:rPr>
      </w:pPr>
      <w:r w:rsidRPr="005F524B">
        <w:rPr>
          <w:sz w:val="24"/>
          <w:szCs w:val="24"/>
        </w:rPr>
        <w:t xml:space="preserve">All true-up reports and filings </w:t>
      </w:r>
      <w:r w:rsidRPr="00A04DA2">
        <w:rPr>
          <w:i/>
          <w:sz w:val="24"/>
          <w:szCs w:val="24"/>
        </w:rPr>
        <w:t>must be filed in the compliance docket</w:t>
      </w:r>
      <w:r w:rsidRPr="005F524B">
        <w:rPr>
          <w:sz w:val="24"/>
          <w:szCs w:val="24"/>
        </w:rPr>
        <w:t xml:space="preserve"> </w:t>
      </w:r>
      <w:r w:rsidR="00A04DA2">
        <w:rPr>
          <w:sz w:val="24"/>
          <w:szCs w:val="24"/>
        </w:rPr>
        <w:t xml:space="preserve">[emphasis added] </w:t>
      </w:r>
      <w:r w:rsidRPr="005F524B">
        <w:rPr>
          <w:sz w:val="24"/>
          <w:szCs w:val="24"/>
        </w:rPr>
        <w:t xml:space="preserve">for this </w:t>
      </w:r>
      <w:r w:rsidRPr="003B4751">
        <w:rPr>
          <w:sz w:val="24"/>
          <w:szCs w:val="24"/>
        </w:rPr>
        <w:t>proceeding.</w:t>
      </w:r>
    </w:p>
    <w:p w14:paraId="63E177D7" w14:textId="77777777" w:rsidR="005F524B" w:rsidRPr="003B4751" w:rsidRDefault="005F524B" w:rsidP="002D150F">
      <w:pPr>
        <w:adjustRightInd/>
        <w:jc w:val="both"/>
        <w:textAlignment w:val="auto"/>
        <w:rPr>
          <w:sz w:val="24"/>
          <w:szCs w:val="24"/>
        </w:rPr>
      </w:pPr>
    </w:p>
    <w:p w14:paraId="5BBF62D2" w14:textId="12960FDA" w:rsidR="005F524B" w:rsidRPr="003B4751" w:rsidRDefault="003B4751" w:rsidP="002D150F">
      <w:pPr>
        <w:adjustRightInd/>
        <w:jc w:val="both"/>
        <w:textAlignment w:val="auto"/>
        <w:rPr>
          <w:sz w:val="24"/>
          <w:szCs w:val="24"/>
        </w:rPr>
      </w:pPr>
      <w:proofErr w:type="gramStart"/>
      <w:r w:rsidRPr="003B4751">
        <w:rPr>
          <w:sz w:val="24"/>
          <w:szCs w:val="24"/>
        </w:rPr>
        <w:t>With regard to</w:t>
      </w:r>
      <w:proofErr w:type="gramEnd"/>
      <w:r w:rsidRPr="003B4751">
        <w:rPr>
          <w:sz w:val="24"/>
          <w:szCs w:val="24"/>
        </w:rPr>
        <w:t xml:space="preserve"> true-up filings, Finding of Fact 65 state</w:t>
      </w:r>
      <w:r w:rsidR="00E149D9">
        <w:rPr>
          <w:sz w:val="24"/>
          <w:szCs w:val="24"/>
        </w:rPr>
        <w:t>s</w:t>
      </w:r>
      <w:r w:rsidRPr="003B4751">
        <w:rPr>
          <w:sz w:val="24"/>
          <w:szCs w:val="24"/>
        </w:rPr>
        <w:t>:</w:t>
      </w:r>
    </w:p>
    <w:p w14:paraId="688D838D" w14:textId="77777777" w:rsidR="003B4751" w:rsidRPr="003B4751" w:rsidRDefault="003B4751" w:rsidP="002D150F">
      <w:pPr>
        <w:adjustRightInd/>
        <w:jc w:val="both"/>
        <w:textAlignment w:val="auto"/>
        <w:rPr>
          <w:sz w:val="24"/>
          <w:szCs w:val="24"/>
        </w:rPr>
      </w:pPr>
    </w:p>
    <w:p w14:paraId="103E061A" w14:textId="74639089" w:rsidR="003B4751" w:rsidRPr="003B4751" w:rsidRDefault="003B4751" w:rsidP="003B4751">
      <w:pPr>
        <w:adjustRightInd/>
        <w:ind w:left="720" w:right="720"/>
        <w:jc w:val="both"/>
        <w:textAlignment w:val="auto"/>
        <w:rPr>
          <w:sz w:val="24"/>
          <w:szCs w:val="24"/>
        </w:rPr>
      </w:pPr>
      <w:r w:rsidRPr="003B4751">
        <w:rPr>
          <w:sz w:val="24"/>
          <w:szCs w:val="24"/>
        </w:rPr>
        <w:t xml:space="preserve">PURA § 39.606 states that a debt obligation order must include a mechanism requiring that the default charges be reviewed and adjusted </w:t>
      </w:r>
      <w:r w:rsidRPr="00561C0B">
        <w:rPr>
          <w:i/>
          <w:iCs/>
          <w:sz w:val="24"/>
          <w:szCs w:val="24"/>
        </w:rPr>
        <w:t>at least annually</w:t>
      </w:r>
      <w:r w:rsidRPr="003B4751">
        <w:rPr>
          <w:sz w:val="24"/>
          <w:szCs w:val="24"/>
        </w:rPr>
        <w:t xml:space="preserve"> </w:t>
      </w:r>
      <w:r w:rsidR="00561C0B">
        <w:rPr>
          <w:sz w:val="24"/>
          <w:szCs w:val="24"/>
        </w:rPr>
        <w:t xml:space="preserve">[emphasis added] </w:t>
      </w:r>
      <w:r w:rsidRPr="003B4751">
        <w:rPr>
          <w:sz w:val="24"/>
          <w:szCs w:val="24"/>
        </w:rPr>
        <w:t>to correct any under</w:t>
      </w:r>
      <w:r>
        <w:rPr>
          <w:sz w:val="24"/>
          <w:szCs w:val="24"/>
        </w:rPr>
        <w:t>-</w:t>
      </w:r>
      <w:r w:rsidRPr="003B4751">
        <w:rPr>
          <w:sz w:val="24"/>
          <w:szCs w:val="24"/>
        </w:rPr>
        <w:t xml:space="preserve">collections or over-collections during the preceding 12 months and to ensure the expected recovery of amounts sufficient to timely provide all payments of debt service. </w:t>
      </w:r>
    </w:p>
    <w:p w14:paraId="50C3F2BE" w14:textId="77777777" w:rsidR="003B4751" w:rsidRDefault="003B4751" w:rsidP="002D150F">
      <w:pPr>
        <w:adjustRightInd/>
        <w:jc w:val="both"/>
        <w:textAlignment w:val="auto"/>
        <w:rPr>
          <w:sz w:val="24"/>
          <w:szCs w:val="24"/>
        </w:rPr>
      </w:pPr>
    </w:p>
    <w:p w14:paraId="6BA05322" w14:textId="0B81045D" w:rsidR="00790DE8" w:rsidRPr="00427E48" w:rsidRDefault="003B4751" w:rsidP="003C74EB">
      <w:pPr>
        <w:adjustRightInd/>
        <w:jc w:val="both"/>
        <w:textAlignment w:val="auto"/>
        <w:rPr>
          <w:b/>
          <w:bCs/>
          <w:sz w:val="24"/>
          <w:szCs w:val="24"/>
          <w:u w:val="single"/>
        </w:rPr>
      </w:pPr>
      <w:r>
        <w:rPr>
          <w:b/>
          <w:bCs/>
          <w:sz w:val="24"/>
          <w:szCs w:val="24"/>
          <w:u w:val="single"/>
        </w:rPr>
        <w:t>Summary</w:t>
      </w:r>
    </w:p>
    <w:p w14:paraId="00A21CF1" w14:textId="77777777" w:rsidR="00790DE8" w:rsidRPr="00427E48" w:rsidRDefault="00790DE8" w:rsidP="0008303D">
      <w:pPr>
        <w:adjustRightInd/>
        <w:spacing w:line="80" w:lineRule="exact"/>
        <w:jc w:val="both"/>
        <w:textAlignment w:val="auto"/>
        <w:rPr>
          <w:sz w:val="24"/>
          <w:szCs w:val="24"/>
        </w:rPr>
      </w:pPr>
    </w:p>
    <w:p w14:paraId="0D01549F" w14:textId="37BB652C" w:rsidR="006E2C95" w:rsidRPr="003B4751" w:rsidRDefault="002802E7" w:rsidP="002D150F">
      <w:pPr>
        <w:jc w:val="both"/>
        <w:rPr>
          <w:sz w:val="24"/>
          <w:szCs w:val="24"/>
          <w:shd w:val="clear" w:color="auto" w:fill="FFFFFF"/>
        </w:rPr>
      </w:pPr>
      <w:r>
        <w:rPr>
          <w:sz w:val="24"/>
          <w:szCs w:val="24"/>
          <w:shd w:val="clear" w:color="auto" w:fill="FFFFFF"/>
        </w:rPr>
        <w:t xml:space="preserve">The compliance filings that ERCOT has made in this compliance docket, </w:t>
      </w:r>
      <w:r w:rsidR="006D5977">
        <w:rPr>
          <w:sz w:val="24"/>
          <w:szCs w:val="24"/>
          <w:shd w:val="clear" w:color="auto" w:fill="FFFFFF"/>
        </w:rPr>
        <w:t>as of February 1, 2022</w:t>
      </w:r>
      <w:r>
        <w:rPr>
          <w:sz w:val="24"/>
          <w:szCs w:val="24"/>
          <w:shd w:val="clear" w:color="auto" w:fill="FFFFFF"/>
        </w:rPr>
        <w:t xml:space="preserve">, </w:t>
      </w:r>
      <w:r w:rsidR="006D5977">
        <w:rPr>
          <w:sz w:val="24"/>
          <w:szCs w:val="24"/>
          <w:shd w:val="clear" w:color="auto" w:fill="FFFFFF"/>
        </w:rPr>
        <w:t>we</w:t>
      </w:r>
      <w:r>
        <w:rPr>
          <w:sz w:val="24"/>
          <w:szCs w:val="24"/>
          <w:shd w:val="clear" w:color="auto" w:fill="FFFFFF"/>
        </w:rPr>
        <w:t>re sufficient and complete.  For future filings, g</w:t>
      </w:r>
      <w:r w:rsidR="005F524B" w:rsidRPr="003B4751">
        <w:rPr>
          <w:sz w:val="24"/>
          <w:szCs w:val="24"/>
          <w:shd w:val="clear" w:color="auto" w:fill="FFFFFF"/>
        </w:rPr>
        <w:t xml:space="preserve">iven the ongoing </w:t>
      </w:r>
      <w:r>
        <w:rPr>
          <w:sz w:val="24"/>
          <w:szCs w:val="24"/>
          <w:shd w:val="clear" w:color="auto" w:fill="FFFFFF"/>
        </w:rPr>
        <w:t>compliance</w:t>
      </w:r>
      <w:r w:rsidR="005F524B" w:rsidRPr="003B4751">
        <w:rPr>
          <w:sz w:val="24"/>
          <w:szCs w:val="24"/>
          <w:shd w:val="clear" w:color="auto" w:fill="FFFFFF"/>
        </w:rPr>
        <w:t xml:space="preserve"> requirements related to </w:t>
      </w:r>
      <w:r w:rsidR="00565C47">
        <w:rPr>
          <w:sz w:val="24"/>
          <w:szCs w:val="24"/>
          <w:shd w:val="clear" w:color="auto" w:fill="FFFFFF"/>
        </w:rPr>
        <w:t xml:space="preserve">various legal documents, related </w:t>
      </w:r>
      <w:r w:rsidR="005F524B" w:rsidRPr="003B4751">
        <w:rPr>
          <w:sz w:val="24"/>
          <w:szCs w:val="24"/>
          <w:shd w:val="clear" w:color="auto" w:fill="FFFFFF"/>
        </w:rPr>
        <w:t xml:space="preserve">amendments, </w:t>
      </w:r>
      <w:r w:rsidR="00C3777B">
        <w:rPr>
          <w:sz w:val="24"/>
          <w:szCs w:val="24"/>
          <w:shd w:val="clear" w:color="auto" w:fill="FFFFFF"/>
        </w:rPr>
        <w:t>IRS rulings, and</w:t>
      </w:r>
      <w:proofErr w:type="gramStart"/>
      <w:r w:rsidR="00C3777B">
        <w:rPr>
          <w:sz w:val="24"/>
          <w:szCs w:val="24"/>
          <w:shd w:val="clear" w:color="auto" w:fill="FFFFFF"/>
        </w:rPr>
        <w:t>, in particular, the</w:t>
      </w:r>
      <w:proofErr w:type="gramEnd"/>
      <w:r w:rsidR="00C3777B">
        <w:rPr>
          <w:sz w:val="24"/>
          <w:szCs w:val="24"/>
          <w:shd w:val="clear" w:color="auto" w:fill="FFFFFF"/>
        </w:rPr>
        <w:t xml:space="preserve"> </w:t>
      </w:r>
      <w:r w:rsidR="00E149D9" w:rsidRPr="007B31BD">
        <w:rPr>
          <w:i/>
          <w:iCs/>
          <w:sz w:val="24"/>
          <w:szCs w:val="24"/>
          <w:shd w:val="clear" w:color="auto" w:fill="FFFFFF"/>
        </w:rPr>
        <w:t>annual</w:t>
      </w:r>
      <w:r w:rsidR="00E149D9">
        <w:rPr>
          <w:sz w:val="24"/>
          <w:szCs w:val="24"/>
          <w:shd w:val="clear" w:color="auto" w:fill="FFFFFF"/>
        </w:rPr>
        <w:t xml:space="preserve"> </w:t>
      </w:r>
      <w:r w:rsidR="005F524B" w:rsidRPr="003B4751">
        <w:rPr>
          <w:sz w:val="24"/>
          <w:szCs w:val="24"/>
          <w:shd w:val="clear" w:color="auto" w:fill="FFFFFF"/>
        </w:rPr>
        <w:t>true-up a</w:t>
      </w:r>
      <w:r w:rsidR="00C3777B">
        <w:rPr>
          <w:sz w:val="24"/>
          <w:szCs w:val="24"/>
          <w:shd w:val="clear" w:color="auto" w:fill="FFFFFF"/>
        </w:rPr>
        <w:t>djustments</w:t>
      </w:r>
      <w:r w:rsidR="003B4751" w:rsidRPr="003B4751">
        <w:rPr>
          <w:sz w:val="24"/>
          <w:szCs w:val="24"/>
          <w:shd w:val="clear" w:color="auto" w:fill="FFFFFF"/>
        </w:rPr>
        <w:t xml:space="preserve"> </w:t>
      </w:r>
      <w:r w:rsidR="00C3777B">
        <w:rPr>
          <w:sz w:val="24"/>
          <w:szCs w:val="24"/>
          <w:shd w:val="clear" w:color="auto" w:fill="FFFFFF"/>
        </w:rPr>
        <w:t>that the Debt Obligation Order specifically states must be filed in the compliance docket,</w:t>
      </w:r>
      <w:r w:rsidR="00565C47">
        <w:rPr>
          <w:sz w:val="24"/>
          <w:szCs w:val="24"/>
          <w:shd w:val="clear" w:color="auto" w:fill="FFFFFF"/>
        </w:rPr>
        <w:t xml:space="preserve"> the explicit provisions of the Debt Obligation Order </w:t>
      </w:r>
      <w:r w:rsidR="00E639EA">
        <w:rPr>
          <w:sz w:val="24"/>
          <w:szCs w:val="24"/>
          <w:shd w:val="clear" w:color="auto" w:fill="FFFFFF"/>
        </w:rPr>
        <w:t>require</w:t>
      </w:r>
      <w:r w:rsidR="007B31BD">
        <w:rPr>
          <w:sz w:val="24"/>
          <w:szCs w:val="24"/>
          <w:shd w:val="clear" w:color="auto" w:fill="FFFFFF"/>
        </w:rPr>
        <w:t xml:space="preserve"> </w:t>
      </w:r>
      <w:r w:rsidR="00565C47">
        <w:rPr>
          <w:sz w:val="24"/>
          <w:szCs w:val="24"/>
          <w:shd w:val="clear" w:color="auto" w:fill="FFFFFF"/>
        </w:rPr>
        <w:t xml:space="preserve">that this compliance docket </w:t>
      </w:r>
      <w:r w:rsidR="00523483">
        <w:rPr>
          <w:sz w:val="24"/>
          <w:szCs w:val="24"/>
          <w:shd w:val="clear" w:color="auto" w:fill="FFFFFF"/>
        </w:rPr>
        <w:t>remain</w:t>
      </w:r>
      <w:r w:rsidR="00565C47">
        <w:rPr>
          <w:sz w:val="24"/>
          <w:szCs w:val="24"/>
          <w:shd w:val="clear" w:color="auto" w:fill="FFFFFF"/>
        </w:rPr>
        <w:t xml:space="preserve"> open.  Accordingly,</w:t>
      </w:r>
      <w:r w:rsidR="005F524B" w:rsidRPr="003B4751">
        <w:rPr>
          <w:sz w:val="24"/>
          <w:szCs w:val="24"/>
          <w:shd w:val="clear" w:color="auto" w:fill="FFFFFF"/>
        </w:rPr>
        <w:t xml:space="preserve"> I </w:t>
      </w:r>
      <w:r w:rsidR="003B4751" w:rsidRPr="003B4751">
        <w:rPr>
          <w:sz w:val="24"/>
          <w:szCs w:val="24"/>
          <w:shd w:val="clear" w:color="auto" w:fill="FFFFFF"/>
        </w:rPr>
        <w:t xml:space="preserve">recommend that </w:t>
      </w:r>
      <w:r w:rsidR="003B4751">
        <w:rPr>
          <w:sz w:val="24"/>
          <w:szCs w:val="24"/>
          <w:shd w:val="clear" w:color="auto" w:fill="FFFFFF"/>
        </w:rPr>
        <w:t>this</w:t>
      </w:r>
      <w:r w:rsidR="005F524B" w:rsidRPr="003B4751">
        <w:rPr>
          <w:sz w:val="24"/>
          <w:szCs w:val="24"/>
          <w:shd w:val="clear" w:color="auto" w:fill="FFFFFF"/>
        </w:rPr>
        <w:t xml:space="preserve"> compliance docket </w:t>
      </w:r>
      <w:r w:rsidR="003B4751">
        <w:rPr>
          <w:sz w:val="24"/>
          <w:szCs w:val="24"/>
          <w:shd w:val="clear" w:color="auto" w:fill="FFFFFF"/>
        </w:rPr>
        <w:t xml:space="preserve">(Docket No. 52709) </w:t>
      </w:r>
      <w:r w:rsidR="003B4751" w:rsidRPr="003B4751">
        <w:rPr>
          <w:sz w:val="24"/>
          <w:szCs w:val="24"/>
          <w:shd w:val="clear" w:color="auto" w:fill="FFFFFF"/>
        </w:rPr>
        <w:t xml:space="preserve">remain open </w:t>
      </w:r>
      <w:r w:rsidR="005F524B" w:rsidRPr="003B4751">
        <w:rPr>
          <w:sz w:val="24"/>
          <w:szCs w:val="24"/>
          <w:shd w:val="clear" w:color="auto" w:fill="FFFFFF"/>
        </w:rPr>
        <w:t xml:space="preserve">for the </w:t>
      </w:r>
      <w:r w:rsidR="003B4751" w:rsidRPr="003B4751">
        <w:rPr>
          <w:sz w:val="24"/>
          <w:szCs w:val="24"/>
          <w:shd w:val="clear" w:color="auto" w:fill="FFFFFF"/>
        </w:rPr>
        <w:t xml:space="preserve">entirety </w:t>
      </w:r>
      <w:r w:rsidR="005F524B" w:rsidRPr="003B4751">
        <w:rPr>
          <w:sz w:val="24"/>
          <w:szCs w:val="24"/>
          <w:shd w:val="clear" w:color="auto" w:fill="FFFFFF"/>
        </w:rPr>
        <w:t>of the</w:t>
      </w:r>
      <w:r>
        <w:rPr>
          <w:sz w:val="24"/>
          <w:szCs w:val="24"/>
          <w:shd w:val="clear" w:color="auto" w:fill="FFFFFF"/>
        </w:rPr>
        <w:t xml:space="preserve"> securitized</w:t>
      </w:r>
      <w:r w:rsidR="005F524B" w:rsidRPr="003B4751">
        <w:rPr>
          <w:sz w:val="24"/>
          <w:szCs w:val="24"/>
          <w:shd w:val="clear" w:color="auto" w:fill="FFFFFF"/>
        </w:rPr>
        <w:t xml:space="preserve"> bonds</w:t>
      </w:r>
      <w:r w:rsidR="003B4751" w:rsidRPr="003B4751">
        <w:rPr>
          <w:sz w:val="24"/>
          <w:szCs w:val="24"/>
          <w:shd w:val="clear" w:color="auto" w:fill="FFFFFF"/>
        </w:rPr>
        <w:t>’ life</w:t>
      </w:r>
      <w:r w:rsidR="005F524B" w:rsidRPr="003B4751">
        <w:rPr>
          <w:sz w:val="24"/>
          <w:szCs w:val="24"/>
          <w:shd w:val="clear" w:color="auto" w:fill="FFFFFF"/>
        </w:rPr>
        <w:t>. </w:t>
      </w:r>
    </w:p>
    <w:p w14:paraId="3FB07DA0" w14:textId="77777777" w:rsidR="006E2C95" w:rsidRDefault="006E2C95" w:rsidP="002D150F">
      <w:pPr>
        <w:jc w:val="both"/>
        <w:rPr>
          <w:rFonts w:ascii="Calibri" w:hAnsi="Calibri" w:cs="Calibri"/>
          <w:color w:val="2F5597"/>
          <w:sz w:val="22"/>
          <w:szCs w:val="22"/>
          <w:shd w:val="clear" w:color="auto" w:fill="FFFFFF"/>
        </w:rPr>
      </w:pPr>
    </w:p>
    <w:sectPr w:rsidR="006E2C95" w:rsidSect="00A311EE">
      <w:headerReference w:type="default" r:id="rId9"/>
      <w:type w:val="continuous"/>
      <w:pgSz w:w="12240" w:h="15840"/>
      <w:pgMar w:top="1526" w:right="1440" w:bottom="99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AC076" w14:textId="77777777" w:rsidR="00707959" w:rsidRDefault="00707959">
      <w:r>
        <w:separator/>
      </w:r>
    </w:p>
  </w:endnote>
  <w:endnote w:type="continuationSeparator" w:id="0">
    <w:p w14:paraId="3DF8D3FF" w14:textId="77777777" w:rsidR="00707959" w:rsidRDefault="00707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671D3" w14:textId="77777777" w:rsidR="00707959" w:rsidRDefault="00707959">
      <w:r>
        <w:separator/>
      </w:r>
    </w:p>
  </w:footnote>
  <w:footnote w:type="continuationSeparator" w:id="0">
    <w:p w14:paraId="68E485E2" w14:textId="77777777" w:rsidR="00707959" w:rsidRDefault="007079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3DAA6" w14:textId="77777777" w:rsidR="00DF1D1F" w:rsidRDefault="00DF1D1F">
    <w:pPr>
      <w:pStyle w:val="Header"/>
      <w:jc w:val="center"/>
      <w:rPr>
        <w:b/>
        <w:bCs/>
        <w:i/>
        <w:iCs/>
        <w:sz w:val="38"/>
        <w:szCs w:val="38"/>
      </w:rPr>
    </w:pPr>
    <w:r>
      <w:rPr>
        <w:b/>
        <w:bCs/>
        <w:i/>
        <w:iCs/>
        <w:sz w:val="38"/>
        <w:szCs w:val="38"/>
      </w:rPr>
      <w:t>Public Utility Commission of Texas</w:t>
    </w:r>
  </w:p>
  <w:p w14:paraId="1107C2DD" w14:textId="77777777" w:rsidR="00DF1D1F" w:rsidRDefault="00DF1D1F">
    <w:pPr>
      <w:pStyle w:val="Header"/>
      <w:tabs>
        <w:tab w:val="clear" w:pos="4320"/>
        <w:tab w:val="left" w:pos="1800"/>
        <w:tab w:val="left" w:pos="6840"/>
      </w:tabs>
      <w:spacing w:before="120" w:after="120"/>
      <w:rPr>
        <w:b/>
        <w:bCs/>
        <w:sz w:val="12"/>
        <w:szCs w:val="12"/>
      </w:rPr>
    </w:pPr>
    <w:r>
      <w:rPr>
        <w:b/>
        <w:bCs/>
        <w:sz w:val="12"/>
        <w:szCs w:val="12"/>
      </w:rPr>
      <w:tab/>
    </w:r>
    <w:r>
      <w:rPr>
        <w:b/>
        <w:bCs/>
        <w:sz w:val="12"/>
        <w:szCs w:val="12"/>
        <w:u w:val="single"/>
      </w:rPr>
      <w:tab/>
    </w:r>
  </w:p>
  <w:p w14:paraId="71CB405E" w14:textId="77777777" w:rsidR="00DF1D1F" w:rsidRDefault="00DF1D1F">
    <w:pPr>
      <w:pStyle w:val="Header"/>
      <w:tabs>
        <w:tab w:val="left" w:pos="1980"/>
        <w:tab w:val="left" w:pos="6750"/>
      </w:tabs>
      <w:jc w:val="center"/>
      <w:rPr>
        <w:b/>
        <w:bCs/>
        <w:sz w:val="38"/>
        <w:szCs w:val="38"/>
      </w:rPr>
    </w:pPr>
    <w:r>
      <w:rPr>
        <w:b/>
        <w:bCs/>
        <w:sz w:val="38"/>
        <w:szCs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020C0" w14:textId="3529F6B7" w:rsidR="00DF1D1F" w:rsidRDefault="00FF0136" w:rsidP="00644C02">
    <w:pPr>
      <w:pStyle w:val="Header"/>
      <w:tabs>
        <w:tab w:val="clear" w:pos="8640"/>
        <w:tab w:val="right" w:pos="9900"/>
      </w:tabs>
      <w:rPr>
        <w:rStyle w:val="PageNumber"/>
      </w:rPr>
    </w:pPr>
    <w:r>
      <w:t>Docket</w:t>
    </w:r>
    <w:r w:rsidR="0073355B">
      <w:t xml:space="preserve"> No. </w:t>
    </w:r>
    <w:r>
      <w:t xml:space="preserve">52709—Staff </w:t>
    </w:r>
    <w:r w:rsidR="00DF39AC">
      <w:t>memo in r</w:t>
    </w:r>
    <w:r>
      <w:t>esponse to Order No. 1</w:t>
    </w:r>
    <w:r w:rsidR="00DF1D1F">
      <w:tab/>
    </w:r>
    <w:r w:rsidR="00DF1D1F">
      <w:tab/>
      <w:t xml:space="preserve">Page </w:t>
    </w:r>
    <w:r w:rsidR="00DF1D1F">
      <w:rPr>
        <w:rStyle w:val="PageNumber"/>
      </w:rPr>
      <w:fldChar w:fldCharType="begin"/>
    </w:r>
    <w:r w:rsidR="00DF1D1F">
      <w:rPr>
        <w:rStyle w:val="PageNumber"/>
      </w:rPr>
      <w:instrText xml:space="preserve"> PAGE </w:instrText>
    </w:r>
    <w:r w:rsidR="00DF1D1F">
      <w:rPr>
        <w:rStyle w:val="PageNumber"/>
      </w:rPr>
      <w:fldChar w:fldCharType="separate"/>
    </w:r>
    <w:r w:rsidR="002802E7">
      <w:rPr>
        <w:rStyle w:val="PageNumber"/>
        <w:noProof/>
      </w:rPr>
      <w:t>2</w:t>
    </w:r>
    <w:r w:rsidR="00DF1D1F">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719BC"/>
    <w:multiLevelType w:val="hybridMultilevel"/>
    <w:tmpl w:val="6F1E42F4"/>
    <w:lvl w:ilvl="0" w:tplc="6B9CDA0A">
      <w:start w:val="2008"/>
      <w:numFmt w:val="decimal"/>
      <w:lvlText w:val="%1"/>
      <w:lvlJc w:val="left"/>
      <w:pPr>
        <w:tabs>
          <w:tab w:val="num" w:pos="5040"/>
        </w:tabs>
        <w:ind w:left="5040" w:hanging="1440"/>
      </w:pPr>
      <w:rPr>
        <w:rFonts w:hint="default"/>
      </w:rPr>
    </w:lvl>
    <w:lvl w:ilvl="1" w:tplc="04090019">
      <w:start w:val="1"/>
      <w:numFmt w:val="lowerLetter"/>
      <w:lvlText w:val="%2."/>
      <w:lvlJc w:val="left"/>
      <w:pPr>
        <w:tabs>
          <w:tab w:val="num" w:pos="4680"/>
        </w:tabs>
        <w:ind w:left="4680" w:hanging="360"/>
      </w:pPr>
    </w:lvl>
    <w:lvl w:ilvl="2" w:tplc="0409001B">
      <w:start w:val="1"/>
      <w:numFmt w:val="lowerRoman"/>
      <w:lvlText w:val="%3."/>
      <w:lvlJc w:val="right"/>
      <w:pPr>
        <w:tabs>
          <w:tab w:val="num" w:pos="5400"/>
        </w:tabs>
        <w:ind w:left="5400" w:hanging="180"/>
      </w:pPr>
    </w:lvl>
    <w:lvl w:ilvl="3" w:tplc="0409000F">
      <w:start w:val="1"/>
      <w:numFmt w:val="decimal"/>
      <w:lvlText w:val="%4."/>
      <w:lvlJc w:val="left"/>
      <w:pPr>
        <w:tabs>
          <w:tab w:val="num" w:pos="6120"/>
        </w:tabs>
        <w:ind w:left="6120" w:hanging="360"/>
      </w:pPr>
    </w:lvl>
    <w:lvl w:ilvl="4" w:tplc="04090019">
      <w:start w:val="1"/>
      <w:numFmt w:val="lowerLetter"/>
      <w:lvlText w:val="%5."/>
      <w:lvlJc w:val="left"/>
      <w:pPr>
        <w:tabs>
          <w:tab w:val="num" w:pos="6840"/>
        </w:tabs>
        <w:ind w:left="6840" w:hanging="360"/>
      </w:pPr>
    </w:lvl>
    <w:lvl w:ilvl="5" w:tplc="0409001B">
      <w:start w:val="1"/>
      <w:numFmt w:val="lowerRoman"/>
      <w:lvlText w:val="%6."/>
      <w:lvlJc w:val="right"/>
      <w:pPr>
        <w:tabs>
          <w:tab w:val="num" w:pos="7560"/>
        </w:tabs>
        <w:ind w:left="7560" w:hanging="180"/>
      </w:pPr>
    </w:lvl>
    <w:lvl w:ilvl="6" w:tplc="0409000F">
      <w:start w:val="1"/>
      <w:numFmt w:val="decimal"/>
      <w:lvlText w:val="%7."/>
      <w:lvlJc w:val="left"/>
      <w:pPr>
        <w:tabs>
          <w:tab w:val="num" w:pos="8280"/>
        </w:tabs>
        <w:ind w:left="8280" w:hanging="360"/>
      </w:pPr>
    </w:lvl>
    <w:lvl w:ilvl="7" w:tplc="04090019">
      <w:start w:val="1"/>
      <w:numFmt w:val="lowerLetter"/>
      <w:lvlText w:val="%8."/>
      <w:lvlJc w:val="left"/>
      <w:pPr>
        <w:tabs>
          <w:tab w:val="num" w:pos="9000"/>
        </w:tabs>
        <w:ind w:left="9000" w:hanging="360"/>
      </w:pPr>
    </w:lvl>
    <w:lvl w:ilvl="8" w:tplc="0409001B">
      <w:start w:val="1"/>
      <w:numFmt w:val="lowerRoman"/>
      <w:lvlText w:val="%9."/>
      <w:lvlJc w:val="right"/>
      <w:pPr>
        <w:tabs>
          <w:tab w:val="num" w:pos="9720"/>
        </w:tabs>
        <w:ind w:left="9720" w:hanging="180"/>
      </w:pPr>
    </w:lvl>
  </w:abstractNum>
  <w:abstractNum w:abstractNumId="1" w15:restartNumberingAfterBreak="0">
    <w:nsid w:val="08A024F3"/>
    <w:multiLevelType w:val="hybridMultilevel"/>
    <w:tmpl w:val="8794C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15C95"/>
    <w:multiLevelType w:val="hybridMultilevel"/>
    <w:tmpl w:val="B75249C2"/>
    <w:lvl w:ilvl="0" w:tplc="F3106846">
      <w:start w:val="2008"/>
      <w:numFmt w:val="decimal"/>
      <w:lvlText w:val="%1"/>
      <w:lvlJc w:val="left"/>
      <w:pPr>
        <w:tabs>
          <w:tab w:val="num" w:pos="2160"/>
        </w:tabs>
        <w:ind w:left="2160" w:hanging="144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3" w15:restartNumberingAfterBreak="0">
    <w:nsid w:val="183E2539"/>
    <w:multiLevelType w:val="hybridMultilevel"/>
    <w:tmpl w:val="8EA03B3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1EEF7B45"/>
    <w:multiLevelType w:val="hybridMultilevel"/>
    <w:tmpl w:val="9D320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AB221A"/>
    <w:multiLevelType w:val="hybridMultilevel"/>
    <w:tmpl w:val="0374F6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266F90"/>
    <w:multiLevelType w:val="hybridMultilevel"/>
    <w:tmpl w:val="70888E7A"/>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32093E17"/>
    <w:multiLevelType w:val="hybridMultilevel"/>
    <w:tmpl w:val="6B980FC4"/>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3D440898"/>
    <w:multiLevelType w:val="hybridMultilevel"/>
    <w:tmpl w:val="67BC1F26"/>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53F63970"/>
    <w:multiLevelType w:val="hybridMultilevel"/>
    <w:tmpl w:val="784674FC"/>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5D7E00C5"/>
    <w:multiLevelType w:val="hybridMultilevel"/>
    <w:tmpl w:val="68F63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9"/>
  </w:num>
  <w:num w:numId="4">
    <w:abstractNumId w:val="8"/>
  </w:num>
  <w:num w:numId="5">
    <w:abstractNumId w:val="3"/>
  </w:num>
  <w:num w:numId="6">
    <w:abstractNumId w:val="2"/>
  </w:num>
  <w:num w:numId="7">
    <w:abstractNumId w:val="0"/>
  </w:num>
  <w:num w:numId="8">
    <w:abstractNumId w:val="5"/>
  </w:num>
  <w:num w:numId="9">
    <w:abstractNumId w:val="1"/>
  </w:num>
  <w:num w:numId="10">
    <w:abstractNumId w:val="4"/>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embedSystemFonts/>
  <w:proofState w:spelling="clean" w:grammar="clean"/>
  <w:trackRevisions/>
  <w:defaultTabStop w:val="720"/>
  <w:doNotHyphenateCaps/>
  <w:drawingGridHorizontalSpacing w:val="120"/>
  <w:drawingGridVerticalSpacing w:val="120"/>
  <w:displayVerticalDrawingGridEvery w:val="0"/>
  <w:doNotUseMarginsForDrawingGridOrigin/>
  <w:characterSpacingControl w:val="doNotCompress"/>
  <w:doNotValidateAgainstSchema/>
  <w:doNotDemarcateInvalidXml/>
  <w:hdrShapeDefaults>
    <o:shapedefaults v:ext="edit" spidmax="1024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4E41"/>
    <w:rsid w:val="000019B3"/>
    <w:rsid w:val="00002B0F"/>
    <w:rsid w:val="000032C0"/>
    <w:rsid w:val="00003802"/>
    <w:rsid w:val="000063ED"/>
    <w:rsid w:val="000067E5"/>
    <w:rsid w:val="00006C32"/>
    <w:rsid w:val="0001161D"/>
    <w:rsid w:val="00011B5E"/>
    <w:rsid w:val="00011D1A"/>
    <w:rsid w:val="000129D2"/>
    <w:rsid w:val="00012B83"/>
    <w:rsid w:val="000130B7"/>
    <w:rsid w:val="00013A31"/>
    <w:rsid w:val="000147A0"/>
    <w:rsid w:val="00016325"/>
    <w:rsid w:val="00017E30"/>
    <w:rsid w:val="00020CEC"/>
    <w:rsid w:val="00021AEC"/>
    <w:rsid w:val="00022D5A"/>
    <w:rsid w:val="00024620"/>
    <w:rsid w:val="00025749"/>
    <w:rsid w:val="00025E12"/>
    <w:rsid w:val="00025E1C"/>
    <w:rsid w:val="00027282"/>
    <w:rsid w:val="00031242"/>
    <w:rsid w:val="000359EC"/>
    <w:rsid w:val="00036A56"/>
    <w:rsid w:val="000406E9"/>
    <w:rsid w:val="000414D3"/>
    <w:rsid w:val="00042DFB"/>
    <w:rsid w:val="00044F83"/>
    <w:rsid w:val="00045044"/>
    <w:rsid w:val="00047FC4"/>
    <w:rsid w:val="000524E2"/>
    <w:rsid w:val="00053639"/>
    <w:rsid w:val="00055659"/>
    <w:rsid w:val="00056A2A"/>
    <w:rsid w:val="000619F7"/>
    <w:rsid w:val="000620EA"/>
    <w:rsid w:val="00062CFA"/>
    <w:rsid w:val="00064011"/>
    <w:rsid w:val="000647D5"/>
    <w:rsid w:val="00065E56"/>
    <w:rsid w:val="0006621B"/>
    <w:rsid w:val="0007207A"/>
    <w:rsid w:val="00073839"/>
    <w:rsid w:val="00074B79"/>
    <w:rsid w:val="000760D4"/>
    <w:rsid w:val="00076511"/>
    <w:rsid w:val="000769C3"/>
    <w:rsid w:val="00076A07"/>
    <w:rsid w:val="00076AE1"/>
    <w:rsid w:val="00077BA5"/>
    <w:rsid w:val="00080430"/>
    <w:rsid w:val="00080761"/>
    <w:rsid w:val="0008303D"/>
    <w:rsid w:val="00084866"/>
    <w:rsid w:val="00090E40"/>
    <w:rsid w:val="000915C6"/>
    <w:rsid w:val="00093A95"/>
    <w:rsid w:val="000A3394"/>
    <w:rsid w:val="000A3B52"/>
    <w:rsid w:val="000A436D"/>
    <w:rsid w:val="000A461A"/>
    <w:rsid w:val="000A4774"/>
    <w:rsid w:val="000A4CFA"/>
    <w:rsid w:val="000B0A9E"/>
    <w:rsid w:val="000B0D2D"/>
    <w:rsid w:val="000B1438"/>
    <w:rsid w:val="000B4B11"/>
    <w:rsid w:val="000B5324"/>
    <w:rsid w:val="000B5BEC"/>
    <w:rsid w:val="000C416B"/>
    <w:rsid w:val="000C4D03"/>
    <w:rsid w:val="000C6C42"/>
    <w:rsid w:val="000C736A"/>
    <w:rsid w:val="000D145C"/>
    <w:rsid w:val="000D1CD8"/>
    <w:rsid w:val="000D23E8"/>
    <w:rsid w:val="000D2D97"/>
    <w:rsid w:val="000D2DC7"/>
    <w:rsid w:val="000D41B5"/>
    <w:rsid w:val="000D499C"/>
    <w:rsid w:val="000D4DDD"/>
    <w:rsid w:val="000D660D"/>
    <w:rsid w:val="000D6EF0"/>
    <w:rsid w:val="000E0C16"/>
    <w:rsid w:val="000E1C72"/>
    <w:rsid w:val="000E2947"/>
    <w:rsid w:val="000E35D1"/>
    <w:rsid w:val="000E41F0"/>
    <w:rsid w:val="000E5F6B"/>
    <w:rsid w:val="000E6802"/>
    <w:rsid w:val="000F0D76"/>
    <w:rsid w:val="000F1171"/>
    <w:rsid w:val="000F255C"/>
    <w:rsid w:val="000F2A48"/>
    <w:rsid w:val="000F5261"/>
    <w:rsid w:val="000F747B"/>
    <w:rsid w:val="001025C9"/>
    <w:rsid w:val="0010366F"/>
    <w:rsid w:val="00103B4C"/>
    <w:rsid w:val="001057B2"/>
    <w:rsid w:val="00105D20"/>
    <w:rsid w:val="001066B5"/>
    <w:rsid w:val="00106F50"/>
    <w:rsid w:val="00107209"/>
    <w:rsid w:val="00107957"/>
    <w:rsid w:val="00114206"/>
    <w:rsid w:val="001203E8"/>
    <w:rsid w:val="0012085E"/>
    <w:rsid w:val="0012209B"/>
    <w:rsid w:val="001238A0"/>
    <w:rsid w:val="001260D9"/>
    <w:rsid w:val="001302DF"/>
    <w:rsid w:val="001326CD"/>
    <w:rsid w:val="001336ED"/>
    <w:rsid w:val="00133BD8"/>
    <w:rsid w:val="00134623"/>
    <w:rsid w:val="001350D0"/>
    <w:rsid w:val="00135DDC"/>
    <w:rsid w:val="001363BB"/>
    <w:rsid w:val="00137248"/>
    <w:rsid w:val="001376E5"/>
    <w:rsid w:val="00140020"/>
    <w:rsid w:val="00140A82"/>
    <w:rsid w:val="00141809"/>
    <w:rsid w:val="00142F45"/>
    <w:rsid w:val="00142F60"/>
    <w:rsid w:val="00144D56"/>
    <w:rsid w:val="00147369"/>
    <w:rsid w:val="0014783C"/>
    <w:rsid w:val="0015201B"/>
    <w:rsid w:val="001553A8"/>
    <w:rsid w:val="00155602"/>
    <w:rsid w:val="00156055"/>
    <w:rsid w:val="00163672"/>
    <w:rsid w:val="00164134"/>
    <w:rsid w:val="0016452A"/>
    <w:rsid w:val="0016574F"/>
    <w:rsid w:val="00170297"/>
    <w:rsid w:val="00172CF6"/>
    <w:rsid w:val="001744C7"/>
    <w:rsid w:val="00175B70"/>
    <w:rsid w:val="00175BE7"/>
    <w:rsid w:val="00176FC2"/>
    <w:rsid w:val="001779D8"/>
    <w:rsid w:val="00180134"/>
    <w:rsid w:val="00181806"/>
    <w:rsid w:val="00183425"/>
    <w:rsid w:val="001848FF"/>
    <w:rsid w:val="00185C03"/>
    <w:rsid w:val="00185DEA"/>
    <w:rsid w:val="00185E1C"/>
    <w:rsid w:val="001871CB"/>
    <w:rsid w:val="00190C8C"/>
    <w:rsid w:val="001914B3"/>
    <w:rsid w:val="0019162F"/>
    <w:rsid w:val="0019412F"/>
    <w:rsid w:val="00194A46"/>
    <w:rsid w:val="00194BE6"/>
    <w:rsid w:val="00194D97"/>
    <w:rsid w:val="00195F86"/>
    <w:rsid w:val="001965B0"/>
    <w:rsid w:val="001A054C"/>
    <w:rsid w:val="001A0C3B"/>
    <w:rsid w:val="001A5837"/>
    <w:rsid w:val="001A5D4C"/>
    <w:rsid w:val="001A756D"/>
    <w:rsid w:val="001A7922"/>
    <w:rsid w:val="001B0AB7"/>
    <w:rsid w:val="001B11CE"/>
    <w:rsid w:val="001B12B6"/>
    <w:rsid w:val="001B1525"/>
    <w:rsid w:val="001B2223"/>
    <w:rsid w:val="001B47BC"/>
    <w:rsid w:val="001B531E"/>
    <w:rsid w:val="001C0839"/>
    <w:rsid w:val="001C1683"/>
    <w:rsid w:val="001C2981"/>
    <w:rsid w:val="001C34B3"/>
    <w:rsid w:val="001C363F"/>
    <w:rsid w:val="001C6761"/>
    <w:rsid w:val="001C6D02"/>
    <w:rsid w:val="001C6DB0"/>
    <w:rsid w:val="001C7852"/>
    <w:rsid w:val="001C7A29"/>
    <w:rsid w:val="001D0DD1"/>
    <w:rsid w:val="001D2470"/>
    <w:rsid w:val="001D3CA7"/>
    <w:rsid w:val="001E48CA"/>
    <w:rsid w:val="001E5185"/>
    <w:rsid w:val="001E5362"/>
    <w:rsid w:val="001E5CBB"/>
    <w:rsid w:val="001E7D29"/>
    <w:rsid w:val="001F1122"/>
    <w:rsid w:val="001F5857"/>
    <w:rsid w:val="001F6A1E"/>
    <w:rsid w:val="001F7F49"/>
    <w:rsid w:val="002004F3"/>
    <w:rsid w:val="00201BE7"/>
    <w:rsid w:val="002028F9"/>
    <w:rsid w:val="00206B75"/>
    <w:rsid w:val="002079BE"/>
    <w:rsid w:val="0021021B"/>
    <w:rsid w:val="002120E6"/>
    <w:rsid w:val="002124A4"/>
    <w:rsid w:val="002130BB"/>
    <w:rsid w:val="002155DD"/>
    <w:rsid w:val="002160E0"/>
    <w:rsid w:val="002163EE"/>
    <w:rsid w:val="002213C1"/>
    <w:rsid w:val="00223047"/>
    <w:rsid w:val="00223378"/>
    <w:rsid w:val="00223F10"/>
    <w:rsid w:val="00224530"/>
    <w:rsid w:val="002264DB"/>
    <w:rsid w:val="00226973"/>
    <w:rsid w:val="00226ABD"/>
    <w:rsid w:val="002313A2"/>
    <w:rsid w:val="00231A46"/>
    <w:rsid w:val="00233E92"/>
    <w:rsid w:val="0023429E"/>
    <w:rsid w:val="00234C58"/>
    <w:rsid w:val="0023519E"/>
    <w:rsid w:val="002353C9"/>
    <w:rsid w:val="00235642"/>
    <w:rsid w:val="0023589E"/>
    <w:rsid w:val="002359F6"/>
    <w:rsid w:val="00240408"/>
    <w:rsid w:val="00243568"/>
    <w:rsid w:val="00245EAC"/>
    <w:rsid w:val="002460BE"/>
    <w:rsid w:val="002471AA"/>
    <w:rsid w:val="00251BAB"/>
    <w:rsid w:val="00253242"/>
    <w:rsid w:val="00256B3D"/>
    <w:rsid w:val="002636E4"/>
    <w:rsid w:val="00263DD1"/>
    <w:rsid w:val="00264AA1"/>
    <w:rsid w:val="002654EF"/>
    <w:rsid w:val="0026619D"/>
    <w:rsid w:val="0026681D"/>
    <w:rsid w:val="00266C61"/>
    <w:rsid w:val="00270437"/>
    <w:rsid w:val="00270958"/>
    <w:rsid w:val="00270EBD"/>
    <w:rsid w:val="00272806"/>
    <w:rsid w:val="00272FB5"/>
    <w:rsid w:val="002736E1"/>
    <w:rsid w:val="00275D53"/>
    <w:rsid w:val="002769D6"/>
    <w:rsid w:val="00277448"/>
    <w:rsid w:val="002802E7"/>
    <w:rsid w:val="0028074E"/>
    <w:rsid w:val="002808A3"/>
    <w:rsid w:val="002819A9"/>
    <w:rsid w:val="00282790"/>
    <w:rsid w:val="0028488E"/>
    <w:rsid w:val="00284F97"/>
    <w:rsid w:val="002852B4"/>
    <w:rsid w:val="002864A4"/>
    <w:rsid w:val="00286A0D"/>
    <w:rsid w:val="002913B8"/>
    <w:rsid w:val="0029200A"/>
    <w:rsid w:val="002938A0"/>
    <w:rsid w:val="002942CF"/>
    <w:rsid w:val="002944CA"/>
    <w:rsid w:val="00294C01"/>
    <w:rsid w:val="00295CCB"/>
    <w:rsid w:val="00296289"/>
    <w:rsid w:val="002967EA"/>
    <w:rsid w:val="002A0A3F"/>
    <w:rsid w:val="002A2022"/>
    <w:rsid w:val="002A3F1D"/>
    <w:rsid w:val="002A3F7D"/>
    <w:rsid w:val="002A6246"/>
    <w:rsid w:val="002A7E3F"/>
    <w:rsid w:val="002B1A63"/>
    <w:rsid w:val="002B1D26"/>
    <w:rsid w:val="002B3116"/>
    <w:rsid w:val="002B3CE5"/>
    <w:rsid w:val="002B4BD2"/>
    <w:rsid w:val="002B4D68"/>
    <w:rsid w:val="002C2510"/>
    <w:rsid w:val="002C483F"/>
    <w:rsid w:val="002C4F27"/>
    <w:rsid w:val="002C699C"/>
    <w:rsid w:val="002C7808"/>
    <w:rsid w:val="002C7C91"/>
    <w:rsid w:val="002D150F"/>
    <w:rsid w:val="002D6871"/>
    <w:rsid w:val="002D7352"/>
    <w:rsid w:val="002E003D"/>
    <w:rsid w:val="002E0E75"/>
    <w:rsid w:val="002E12D4"/>
    <w:rsid w:val="002E172B"/>
    <w:rsid w:val="002E238B"/>
    <w:rsid w:val="002E3C26"/>
    <w:rsid w:val="002E58E4"/>
    <w:rsid w:val="002E7C46"/>
    <w:rsid w:val="002F1EA2"/>
    <w:rsid w:val="002F222C"/>
    <w:rsid w:val="002F2E7F"/>
    <w:rsid w:val="002F695C"/>
    <w:rsid w:val="002F78F9"/>
    <w:rsid w:val="00300EF9"/>
    <w:rsid w:val="00301572"/>
    <w:rsid w:val="00301838"/>
    <w:rsid w:val="003049D2"/>
    <w:rsid w:val="00306048"/>
    <w:rsid w:val="00306E69"/>
    <w:rsid w:val="0031001C"/>
    <w:rsid w:val="003116BD"/>
    <w:rsid w:val="003123F7"/>
    <w:rsid w:val="00312EBD"/>
    <w:rsid w:val="00313826"/>
    <w:rsid w:val="003158ED"/>
    <w:rsid w:val="00315B86"/>
    <w:rsid w:val="00317A9F"/>
    <w:rsid w:val="00326A5C"/>
    <w:rsid w:val="00326AFF"/>
    <w:rsid w:val="003276CD"/>
    <w:rsid w:val="003301CA"/>
    <w:rsid w:val="00330314"/>
    <w:rsid w:val="00330637"/>
    <w:rsid w:val="00330F89"/>
    <w:rsid w:val="00332125"/>
    <w:rsid w:val="003321E9"/>
    <w:rsid w:val="00332322"/>
    <w:rsid w:val="00336108"/>
    <w:rsid w:val="00336D28"/>
    <w:rsid w:val="00340014"/>
    <w:rsid w:val="0034049B"/>
    <w:rsid w:val="00340772"/>
    <w:rsid w:val="00343E0F"/>
    <w:rsid w:val="0034663F"/>
    <w:rsid w:val="00351A87"/>
    <w:rsid w:val="0035403F"/>
    <w:rsid w:val="00356B47"/>
    <w:rsid w:val="00357128"/>
    <w:rsid w:val="00357817"/>
    <w:rsid w:val="00362C19"/>
    <w:rsid w:val="003642F2"/>
    <w:rsid w:val="0036638C"/>
    <w:rsid w:val="0036649D"/>
    <w:rsid w:val="003679F8"/>
    <w:rsid w:val="00367F8C"/>
    <w:rsid w:val="00370506"/>
    <w:rsid w:val="0037221B"/>
    <w:rsid w:val="00372252"/>
    <w:rsid w:val="0037286C"/>
    <w:rsid w:val="0037704A"/>
    <w:rsid w:val="00377620"/>
    <w:rsid w:val="00382663"/>
    <w:rsid w:val="003835AB"/>
    <w:rsid w:val="0038369D"/>
    <w:rsid w:val="00383906"/>
    <w:rsid w:val="00383E38"/>
    <w:rsid w:val="0039032C"/>
    <w:rsid w:val="00391319"/>
    <w:rsid w:val="003931F1"/>
    <w:rsid w:val="003A1837"/>
    <w:rsid w:val="003A186A"/>
    <w:rsid w:val="003A1D7E"/>
    <w:rsid w:val="003A5F9B"/>
    <w:rsid w:val="003A720B"/>
    <w:rsid w:val="003A7A10"/>
    <w:rsid w:val="003B1931"/>
    <w:rsid w:val="003B25F3"/>
    <w:rsid w:val="003B4751"/>
    <w:rsid w:val="003B5F12"/>
    <w:rsid w:val="003B752B"/>
    <w:rsid w:val="003C25B7"/>
    <w:rsid w:val="003C4DE2"/>
    <w:rsid w:val="003C74EB"/>
    <w:rsid w:val="003C789D"/>
    <w:rsid w:val="003C7E3C"/>
    <w:rsid w:val="003D122C"/>
    <w:rsid w:val="003D1305"/>
    <w:rsid w:val="003D1E9B"/>
    <w:rsid w:val="003D21CC"/>
    <w:rsid w:val="003D24BF"/>
    <w:rsid w:val="003D2BED"/>
    <w:rsid w:val="003D4B97"/>
    <w:rsid w:val="003D5553"/>
    <w:rsid w:val="003D593E"/>
    <w:rsid w:val="003D5F75"/>
    <w:rsid w:val="003D7F86"/>
    <w:rsid w:val="003E30BA"/>
    <w:rsid w:val="003E5C3A"/>
    <w:rsid w:val="003F21B8"/>
    <w:rsid w:val="003F2B85"/>
    <w:rsid w:val="003F37CF"/>
    <w:rsid w:val="003F38B8"/>
    <w:rsid w:val="003F3F09"/>
    <w:rsid w:val="003F4647"/>
    <w:rsid w:val="00401707"/>
    <w:rsid w:val="0040217D"/>
    <w:rsid w:val="00402CC6"/>
    <w:rsid w:val="00403D6D"/>
    <w:rsid w:val="0041229B"/>
    <w:rsid w:val="00412ED7"/>
    <w:rsid w:val="00413B80"/>
    <w:rsid w:val="0041700B"/>
    <w:rsid w:val="00417EE5"/>
    <w:rsid w:val="004241AC"/>
    <w:rsid w:val="00425CD1"/>
    <w:rsid w:val="00427C8C"/>
    <w:rsid w:val="00427CD0"/>
    <w:rsid w:val="00427E48"/>
    <w:rsid w:val="004320B8"/>
    <w:rsid w:val="00436EE4"/>
    <w:rsid w:val="0043730E"/>
    <w:rsid w:val="00437817"/>
    <w:rsid w:val="00441DBC"/>
    <w:rsid w:val="00441F9D"/>
    <w:rsid w:val="0044240A"/>
    <w:rsid w:val="00446E5C"/>
    <w:rsid w:val="004514CE"/>
    <w:rsid w:val="004519BA"/>
    <w:rsid w:val="00452C56"/>
    <w:rsid w:val="0045375B"/>
    <w:rsid w:val="00456CAE"/>
    <w:rsid w:val="00461F77"/>
    <w:rsid w:val="00462917"/>
    <w:rsid w:val="004663E6"/>
    <w:rsid w:val="00467741"/>
    <w:rsid w:val="00473D26"/>
    <w:rsid w:val="00474E06"/>
    <w:rsid w:val="00475B36"/>
    <w:rsid w:val="00475BCB"/>
    <w:rsid w:val="00476B0B"/>
    <w:rsid w:val="00481723"/>
    <w:rsid w:val="00483116"/>
    <w:rsid w:val="00483AAC"/>
    <w:rsid w:val="004842B1"/>
    <w:rsid w:val="00484A01"/>
    <w:rsid w:val="00490CF9"/>
    <w:rsid w:val="00490DA9"/>
    <w:rsid w:val="0049477E"/>
    <w:rsid w:val="004961FF"/>
    <w:rsid w:val="004965B7"/>
    <w:rsid w:val="004A0370"/>
    <w:rsid w:val="004A2821"/>
    <w:rsid w:val="004A325F"/>
    <w:rsid w:val="004A48D6"/>
    <w:rsid w:val="004A5D8D"/>
    <w:rsid w:val="004A7591"/>
    <w:rsid w:val="004B14EE"/>
    <w:rsid w:val="004B281B"/>
    <w:rsid w:val="004B4D83"/>
    <w:rsid w:val="004B5265"/>
    <w:rsid w:val="004B680A"/>
    <w:rsid w:val="004B6947"/>
    <w:rsid w:val="004C0929"/>
    <w:rsid w:val="004C2302"/>
    <w:rsid w:val="004C2E42"/>
    <w:rsid w:val="004C67E4"/>
    <w:rsid w:val="004D0910"/>
    <w:rsid w:val="004D0A2E"/>
    <w:rsid w:val="004D444D"/>
    <w:rsid w:val="004D7424"/>
    <w:rsid w:val="004E00E9"/>
    <w:rsid w:val="004E1E9D"/>
    <w:rsid w:val="004E3C67"/>
    <w:rsid w:val="004E3CDB"/>
    <w:rsid w:val="004E45F7"/>
    <w:rsid w:val="004E5F37"/>
    <w:rsid w:val="004F0276"/>
    <w:rsid w:val="004F2796"/>
    <w:rsid w:val="004F2857"/>
    <w:rsid w:val="00501ADF"/>
    <w:rsid w:val="005022A5"/>
    <w:rsid w:val="00502327"/>
    <w:rsid w:val="005026B2"/>
    <w:rsid w:val="005055F2"/>
    <w:rsid w:val="0050583D"/>
    <w:rsid w:val="005068E4"/>
    <w:rsid w:val="00507F9A"/>
    <w:rsid w:val="005132A4"/>
    <w:rsid w:val="005136BA"/>
    <w:rsid w:val="00517452"/>
    <w:rsid w:val="0051753F"/>
    <w:rsid w:val="00517F35"/>
    <w:rsid w:val="00520686"/>
    <w:rsid w:val="00521F45"/>
    <w:rsid w:val="00522F87"/>
    <w:rsid w:val="00523483"/>
    <w:rsid w:val="00526DBF"/>
    <w:rsid w:val="00527AB5"/>
    <w:rsid w:val="005307BB"/>
    <w:rsid w:val="0053082A"/>
    <w:rsid w:val="00530D22"/>
    <w:rsid w:val="00531381"/>
    <w:rsid w:val="00531BB0"/>
    <w:rsid w:val="00534BD0"/>
    <w:rsid w:val="00537872"/>
    <w:rsid w:val="005379BB"/>
    <w:rsid w:val="00537DFD"/>
    <w:rsid w:val="0054118C"/>
    <w:rsid w:val="00543443"/>
    <w:rsid w:val="00543F8D"/>
    <w:rsid w:val="0055073B"/>
    <w:rsid w:val="00550C37"/>
    <w:rsid w:val="00551D46"/>
    <w:rsid w:val="00551E70"/>
    <w:rsid w:val="00552DA7"/>
    <w:rsid w:val="00554412"/>
    <w:rsid w:val="00554E26"/>
    <w:rsid w:val="00557EC3"/>
    <w:rsid w:val="0056068F"/>
    <w:rsid w:val="00561C0B"/>
    <w:rsid w:val="0056263B"/>
    <w:rsid w:val="00563822"/>
    <w:rsid w:val="00564006"/>
    <w:rsid w:val="00565C47"/>
    <w:rsid w:val="005660E1"/>
    <w:rsid w:val="00566725"/>
    <w:rsid w:val="005710ED"/>
    <w:rsid w:val="00571854"/>
    <w:rsid w:val="00573C5A"/>
    <w:rsid w:val="00575824"/>
    <w:rsid w:val="00576CFD"/>
    <w:rsid w:val="00577603"/>
    <w:rsid w:val="00577D48"/>
    <w:rsid w:val="005813D6"/>
    <w:rsid w:val="00581468"/>
    <w:rsid w:val="005849C4"/>
    <w:rsid w:val="0058602C"/>
    <w:rsid w:val="005876C7"/>
    <w:rsid w:val="005962A3"/>
    <w:rsid w:val="005967E7"/>
    <w:rsid w:val="00597230"/>
    <w:rsid w:val="005A1826"/>
    <w:rsid w:val="005A1CDD"/>
    <w:rsid w:val="005A2922"/>
    <w:rsid w:val="005A34BC"/>
    <w:rsid w:val="005A4CD2"/>
    <w:rsid w:val="005A5E45"/>
    <w:rsid w:val="005A62E8"/>
    <w:rsid w:val="005A6C50"/>
    <w:rsid w:val="005B1184"/>
    <w:rsid w:val="005B20CB"/>
    <w:rsid w:val="005B40F1"/>
    <w:rsid w:val="005B515B"/>
    <w:rsid w:val="005B5A77"/>
    <w:rsid w:val="005B6882"/>
    <w:rsid w:val="005B75E5"/>
    <w:rsid w:val="005C0630"/>
    <w:rsid w:val="005C0D03"/>
    <w:rsid w:val="005C175C"/>
    <w:rsid w:val="005C262C"/>
    <w:rsid w:val="005C44EE"/>
    <w:rsid w:val="005C64F8"/>
    <w:rsid w:val="005C7D67"/>
    <w:rsid w:val="005C7E50"/>
    <w:rsid w:val="005D0E1F"/>
    <w:rsid w:val="005D18D8"/>
    <w:rsid w:val="005D2ACC"/>
    <w:rsid w:val="005D52A1"/>
    <w:rsid w:val="005E17C6"/>
    <w:rsid w:val="005E3FDD"/>
    <w:rsid w:val="005E426A"/>
    <w:rsid w:val="005E50D9"/>
    <w:rsid w:val="005E5D6F"/>
    <w:rsid w:val="005E745B"/>
    <w:rsid w:val="005F02EE"/>
    <w:rsid w:val="005F04FC"/>
    <w:rsid w:val="005F2292"/>
    <w:rsid w:val="005F28AD"/>
    <w:rsid w:val="005F3BA9"/>
    <w:rsid w:val="005F501F"/>
    <w:rsid w:val="005F524B"/>
    <w:rsid w:val="005F56E7"/>
    <w:rsid w:val="005F67C1"/>
    <w:rsid w:val="005F7B1A"/>
    <w:rsid w:val="00600364"/>
    <w:rsid w:val="0060052F"/>
    <w:rsid w:val="0060091B"/>
    <w:rsid w:val="00604D2C"/>
    <w:rsid w:val="006058D3"/>
    <w:rsid w:val="00607554"/>
    <w:rsid w:val="0060767E"/>
    <w:rsid w:val="006100F5"/>
    <w:rsid w:val="00612A80"/>
    <w:rsid w:val="006133C4"/>
    <w:rsid w:val="00613DF9"/>
    <w:rsid w:val="0061440F"/>
    <w:rsid w:val="00614DA0"/>
    <w:rsid w:val="00616F07"/>
    <w:rsid w:val="006202D3"/>
    <w:rsid w:val="006204CB"/>
    <w:rsid w:val="00620AD3"/>
    <w:rsid w:val="00620FCC"/>
    <w:rsid w:val="00622F20"/>
    <w:rsid w:val="00624595"/>
    <w:rsid w:val="00626750"/>
    <w:rsid w:val="00627E6A"/>
    <w:rsid w:val="00630ED6"/>
    <w:rsid w:val="0063372A"/>
    <w:rsid w:val="00634512"/>
    <w:rsid w:val="00634A6C"/>
    <w:rsid w:val="00635046"/>
    <w:rsid w:val="0063539D"/>
    <w:rsid w:val="0063618B"/>
    <w:rsid w:val="0063631F"/>
    <w:rsid w:val="00636966"/>
    <w:rsid w:val="006370A2"/>
    <w:rsid w:val="00637200"/>
    <w:rsid w:val="0063735E"/>
    <w:rsid w:val="00640734"/>
    <w:rsid w:val="0064097A"/>
    <w:rsid w:val="00642C2A"/>
    <w:rsid w:val="0064354D"/>
    <w:rsid w:val="00643BBA"/>
    <w:rsid w:val="00644C02"/>
    <w:rsid w:val="00646BBA"/>
    <w:rsid w:val="006470D2"/>
    <w:rsid w:val="00651E41"/>
    <w:rsid w:val="00652475"/>
    <w:rsid w:val="00653B18"/>
    <w:rsid w:val="006544FD"/>
    <w:rsid w:val="00654ED7"/>
    <w:rsid w:val="006559E5"/>
    <w:rsid w:val="00660894"/>
    <w:rsid w:val="006613B2"/>
    <w:rsid w:val="006631D2"/>
    <w:rsid w:val="006647F0"/>
    <w:rsid w:val="00664ED1"/>
    <w:rsid w:val="00665DB2"/>
    <w:rsid w:val="006666BB"/>
    <w:rsid w:val="006670BB"/>
    <w:rsid w:val="006702BE"/>
    <w:rsid w:val="00670597"/>
    <w:rsid w:val="00670622"/>
    <w:rsid w:val="00670BAC"/>
    <w:rsid w:val="00671394"/>
    <w:rsid w:val="00671BC4"/>
    <w:rsid w:val="00672C13"/>
    <w:rsid w:val="00673285"/>
    <w:rsid w:val="00673B96"/>
    <w:rsid w:val="00675798"/>
    <w:rsid w:val="00681EC8"/>
    <w:rsid w:val="00682820"/>
    <w:rsid w:val="0068604D"/>
    <w:rsid w:val="00686B3E"/>
    <w:rsid w:val="00690F5A"/>
    <w:rsid w:val="006910C5"/>
    <w:rsid w:val="00692057"/>
    <w:rsid w:val="006934D8"/>
    <w:rsid w:val="0069647D"/>
    <w:rsid w:val="00697F33"/>
    <w:rsid w:val="006A154B"/>
    <w:rsid w:val="006A1AC4"/>
    <w:rsid w:val="006A2225"/>
    <w:rsid w:val="006A6077"/>
    <w:rsid w:val="006A63C8"/>
    <w:rsid w:val="006A6751"/>
    <w:rsid w:val="006A7E3F"/>
    <w:rsid w:val="006B2020"/>
    <w:rsid w:val="006B262A"/>
    <w:rsid w:val="006B2C97"/>
    <w:rsid w:val="006B5ED2"/>
    <w:rsid w:val="006B6ECF"/>
    <w:rsid w:val="006B72B8"/>
    <w:rsid w:val="006B7A73"/>
    <w:rsid w:val="006C298C"/>
    <w:rsid w:val="006C322E"/>
    <w:rsid w:val="006C3D02"/>
    <w:rsid w:val="006C6C42"/>
    <w:rsid w:val="006C771A"/>
    <w:rsid w:val="006C77F6"/>
    <w:rsid w:val="006D2D6C"/>
    <w:rsid w:val="006D2FA0"/>
    <w:rsid w:val="006D305F"/>
    <w:rsid w:val="006D36BA"/>
    <w:rsid w:val="006D512C"/>
    <w:rsid w:val="006D5977"/>
    <w:rsid w:val="006D5E9A"/>
    <w:rsid w:val="006E2C95"/>
    <w:rsid w:val="006E4B65"/>
    <w:rsid w:val="006E4CE6"/>
    <w:rsid w:val="006E5A4B"/>
    <w:rsid w:val="006E734B"/>
    <w:rsid w:val="006E7B91"/>
    <w:rsid w:val="006F006C"/>
    <w:rsid w:val="006F1616"/>
    <w:rsid w:val="006F2B4B"/>
    <w:rsid w:val="006F66C4"/>
    <w:rsid w:val="006F7AA4"/>
    <w:rsid w:val="006F7D5C"/>
    <w:rsid w:val="00701A1E"/>
    <w:rsid w:val="007021D3"/>
    <w:rsid w:val="00703AE8"/>
    <w:rsid w:val="00704401"/>
    <w:rsid w:val="00705169"/>
    <w:rsid w:val="007052A4"/>
    <w:rsid w:val="0070564C"/>
    <w:rsid w:val="00705FC1"/>
    <w:rsid w:val="0070637D"/>
    <w:rsid w:val="00706B6F"/>
    <w:rsid w:val="00706E0D"/>
    <w:rsid w:val="0070738C"/>
    <w:rsid w:val="00707959"/>
    <w:rsid w:val="00707F89"/>
    <w:rsid w:val="00711A97"/>
    <w:rsid w:val="00713A5C"/>
    <w:rsid w:val="00715DA4"/>
    <w:rsid w:val="00720359"/>
    <w:rsid w:val="00721777"/>
    <w:rsid w:val="00722781"/>
    <w:rsid w:val="00722E8B"/>
    <w:rsid w:val="007300ED"/>
    <w:rsid w:val="0073140A"/>
    <w:rsid w:val="0073355B"/>
    <w:rsid w:val="007337F1"/>
    <w:rsid w:val="00733960"/>
    <w:rsid w:val="00733EFE"/>
    <w:rsid w:val="00734114"/>
    <w:rsid w:val="0073615A"/>
    <w:rsid w:val="007471FE"/>
    <w:rsid w:val="00747AC9"/>
    <w:rsid w:val="00750033"/>
    <w:rsid w:val="00752AB9"/>
    <w:rsid w:val="007536E4"/>
    <w:rsid w:val="00756E17"/>
    <w:rsid w:val="007573E4"/>
    <w:rsid w:val="0076128A"/>
    <w:rsid w:val="00761C9E"/>
    <w:rsid w:val="00761EDA"/>
    <w:rsid w:val="00762147"/>
    <w:rsid w:val="007633AA"/>
    <w:rsid w:val="00766115"/>
    <w:rsid w:val="007674C1"/>
    <w:rsid w:val="0077019B"/>
    <w:rsid w:val="00770215"/>
    <w:rsid w:val="00770455"/>
    <w:rsid w:val="00770541"/>
    <w:rsid w:val="00771213"/>
    <w:rsid w:val="007723FD"/>
    <w:rsid w:val="007726F5"/>
    <w:rsid w:val="00772D96"/>
    <w:rsid w:val="007768DA"/>
    <w:rsid w:val="0078137C"/>
    <w:rsid w:val="00782967"/>
    <w:rsid w:val="007833C4"/>
    <w:rsid w:val="00786474"/>
    <w:rsid w:val="00790DE8"/>
    <w:rsid w:val="00791877"/>
    <w:rsid w:val="00793036"/>
    <w:rsid w:val="00795628"/>
    <w:rsid w:val="00795C54"/>
    <w:rsid w:val="00795CB9"/>
    <w:rsid w:val="0079792F"/>
    <w:rsid w:val="007A07C4"/>
    <w:rsid w:val="007A0F77"/>
    <w:rsid w:val="007A117E"/>
    <w:rsid w:val="007A2A6C"/>
    <w:rsid w:val="007A3D61"/>
    <w:rsid w:val="007A4F75"/>
    <w:rsid w:val="007A69BC"/>
    <w:rsid w:val="007A7AB9"/>
    <w:rsid w:val="007A7C22"/>
    <w:rsid w:val="007B1A49"/>
    <w:rsid w:val="007B29D3"/>
    <w:rsid w:val="007B31BD"/>
    <w:rsid w:val="007B6588"/>
    <w:rsid w:val="007B69C3"/>
    <w:rsid w:val="007B7B4E"/>
    <w:rsid w:val="007C0B33"/>
    <w:rsid w:val="007C364B"/>
    <w:rsid w:val="007D029E"/>
    <w:rsid w:val="007D6BCB"/>
    <w:rsid w:val="007D7BBB"/>
    <w:rsid w:val="007E0507"/>
    <w:rsid w:val="007E13C2"/>
    <w:rsid w:val="007E1F84"/>
    <w:rsid w:val="007E2B8A"/>
    <w:rsid w:val="007E308D"/>
    <w:rsid w:val="007E3D49"/>
    <w:rsid w:val="007E5714"/>
    <w:rsid w:val="007E7E60"/>
    <w:rsid w:val="007F0563"/>
    <w:rsid w:val="007F22C8"/>
    <w:rsid w:val="007F45FD"/>
    <w:rsid w:val="007F4DB5"/>
    <w:rsid w:val="007F5B5D"/>
    <w:rsid w:val="0080014F"/>
    <w:rsid w:val="00800943"/>
    <w:rsid w:val="00801B16"/>
    <w:rsid w:val="00801CFB"/>
    <w:rsid w:val="00801F9B"/>
    <w:rsid w:val="008027B9"/>
    <w:rsid w:val="00803757"/>
    <w:rsid w:val="00805565"/>
    <w:rsid w:val="00805A12"/>
    <w:rsid w:val="00813D47"/>
    <w:rsid w:val="00817172"/>
    <w:rsid w:val="00817490"/>
    <w:rsid w:val="008179C6"/>
    <w:rsid w:val="00820830"/>
    <w:rsid w:val="008252B5"/>
    <w:rsid w:val="00826B16"/>
    <w:rsid w:val="00827D1A"/>
    <w:rsid w:val="00832B12"/>
    <w:rsid w:val="00833B96"/>
    <w:rsid w:val="0083447F"/>
    <w:rsid w:val="0083662A"/>
    <w:rsid w:val="00840A11"/>
    <w:rsid w:val="00841BAA"/>
    <w:rsid w:val="008423F3"/>
    <w:rsid w:val="00845124"/>
    <w:rsid w:val="00845D6E"/>
    <w:rsid w:val="00847487"/>
    <w:rsid w:val="00847647"/>
    <w:rsid w:val="008476FD"/>
    <w:rsid w:val="00852C25"/>
    <w:rsid w:val="00857625"/>
    <w:rsid w:val="00857F7B"/>
    <w:rsid w:val="0086245C"/>
    <w:rsid w:val="00862659"/>
    <w:rsid w:val="008627A4"/>
    <w:rsid w:val="00863017"/>
    <w:rsid w:val="00863A29"/>
    <w:rsid w:val="00864C07"/>
    <w:rsid w:val="00864F55"/>
    <w:rsid w:val="0087024E"/>
    <w:rsid w:val="00875709"/>
    <w:rsid w:val="00875E98"/>
    <w:rsid w:val="00880550"/>
    <w:rsid w:val="00880AF0"/>
    <w:rsid w:val="008813C9"/>
    <w:rsid w:val="00881E82"/>
    <w:rsid w:val="00882420"/>
    <w:rsid w:val="008834EB"/>
    <w:rsid w:val="0088504A"/>
    <w:rsid w:val="0088600F"/>
    <w:rsid w:val="0088795B"/>
    <w:rsid w:val="00890E5C"/>
    <w:rsid w:val="0089344B"/>
    <w:rsid w:val="00893902"/>
    <w:rsid w:val="0089435D"/>
    <w:rsid w:val="0089498C"/>
    <w:rsid w:val="00894B9E"/>
    <w:rsid w:val="008A131F"/>
    <w:rsid w:val="008A18B0"/>
    <w:rsid w:val="008A3ADF"/>
    <w:rsid w:val="008A417E"/>
    <w:rsid w:val="008A45C9"/>
    <w:rsid w:val="008A73F1"/>
    <w:rsid w:val="008B00E8"/>
    <w:rsid w:val="008B0623"/>
    <w:rsid w:val="008B06F4"/>
    <w:rsid w:val="008B26BD"/>
    <w:rsid w:val="008B3F9C"/>
    <w:rsid w:val="008B444F"/>
    <w:rsid w:val="008B46F7"/>
    <w:rsid w:val="008B6A5E"/>
    <w:rsid w:val="008B6D83"/>
    <w:rsid w:val="008C211F"/>
    <w:rsid w:val="008C372A"/>
    <w:rsid w:val="008C3E5D"/>
    <w:rsid w:val="008C72CE"/>
    <w:rsid w:val="008D1008"/>
    <w:rsid w:val="008D1064"/>
    <w:rsid w:val="008D1F0F"/>
    <w:rsid w:val="008D37F6"/>
    <w:rsid w:val="008D541E"/>
    <w:rsid w:val="008D668F"/>
    <w:rsid w:val="008D7328"/>
    <w:rsid w:val="008E01ED"/>
    <w:rsid w:val="008E0275"/>
    <w:rsid w:val="008E045B"/>
    <w:rsid w:val="008E1827"/>
    <w:rsid w:val="008E41CB"/>
    <w:rsid w:val="008E5300"/>
    <w:rsid w:val="008E6315"/>
    <w:rsid w:val="008E6EFF"/>
    <w:rsid w:val="008E6FB2"/>
    <w:rsid w:val="008F0B97"/>
    <w:rsid w:val="008F0CE1"/>
    <w:rsid w:val="008F58B9"/>
    <w:rsid w:val="008F5E5F"/>
    <w:rsid w:val="0090022E"/>
    <w:rsid w:val="009006FD"/>
    <w:rsid w:val="00900B3A"/>
    <w:rsid w:val="00902A89"/>
    <w:rsid w:val="009064D4"/>
    <w:rsid w:val="0091021C"/>
    <w:rsid w:val="00910BCD"/>
    <w:rsid w:val="00910C10"/>
    <w:rsid w:val="009117E3"/>
    <w:rsid w:val="00912C10"/>
    <w:rsid w:val="00912ECC"/>
    <w:rsid w:val="009149FE"/>
    <w:rsid w:val="0091589D"/>
    <w:rsid w:val="0091592A"/>
    <w:rsid w:val="00920499"/>
    <w:rsid w:val="0092150C"/>
    <w:rsid w:val="009215FD"/>
    <w:rsid w:val="00921867"/>
    <w:rsid w:val="00923DEF"/>
    <w:rsid w:val="00923EBC"/>
    <w:rsid w:val="0092527F"/>
    <w:rsid w:val="00925B7E"/>
    <w:rsid w:val="00927EA1"/>
    <w:rsid w:val="00927EED"/>
    <w:rsid w:val="00931A2D"/>
    <w:rsid w:val="00931FA9"/>
    <w:rsid w:val="009340FB"/>
    <w:rsid w:val="00934503"/>
    <w:rsid w:val="0093780F"/>
    <w:rsid w:val="009406FE"/>
    <w:rsid w:val="0094495E"/>
    <w:rsid w:val="00945BF2"/>
    <w:rsid w:val="00946AF5"/>
    <w:rsid w:val="00947CB2"/>
    <w:rsid w:val="00951A02"/>
    <w:rsid w:val="00952D62"/>
    <w:rsid w:val="00953F08"/>
    <w:rsid w:val="0095424D"/>
    <w:rsid w:val="0095425D"/>
    <w:rsid w:val="009550F7"/>
    <w:rsid w:val="00956E45"/>
    <w:rsid w:val="009602E5"/>
    <w:rsid w:val="00960463"/>
    <w:rsid w:val="0096175C"/>
    <w:rsid w:val="00962783"/>
    <w:rsid w:val="00963CC2"/>
    <w:rsid w:val="009660A2"/>
    <w:rsid w:val="009673CA"/>
    <w:rsid w:val="00967FB5"/>
    <w:rsid w:val="0097083D"/>
    <w:rsid w:val="00971A23"/>
    <w:rsid w:val="009751F1"/>
    <w:rsid w:val="00975A97"/>
    <w:rsid w:val="009761E6"/>
    <w:rsid w:val="00976365"/>
    <w:rsid w:val="00976FBA"/>
    <w:rsid w:val="00980351"/>
    <w:rsid w:val="00980F15"/>
    <w:rsid w:val="0098389D"/>
    <w:rsid w:val="0098461B"/>
    <w:rsid w:val="0098522D"/>
    <w:rsid w:val="00985319"/>
    <w:rsid w:val="00990305"/>
    <w:rsid w:val="00991723"/>
    <w:rsid w:val="0099187E"/>
    <w:rsid w:val="0099243C"/>
    <w:rsid w:val="00993CA1"/>
    <w:rsid w:val="0099424B"/>
    <w:rsid w:val="0099454D"/>
    <w:rsid w:val="009A55A6"/>
    <w:rsid w:val="009A76AE"/>
    <w:rsid w:val="009B3DF7"/>
    <w:rsid w:val="009B3E4D"/>
    <w:rsid w:val="009B5003"/>
    <w:rsid w:val="009B6595"/>
    <w:rsid w:val="009C2A01"/>
    <w:rsid w:val="009C540A"/>
    <w:rsid w:val="009C6A1C"/>
    <w:rsid w:val="009D22D5"/>
    <w:rsid w:val="009D380B"/>
    <w:rsid w:val="009D3BB4"/>
    <w:rsid w:val="009E113F"/>
    <w:rsid w:val="009E1609"/>
    <w:rsid w:val="009E2843"/>
    <w:rsid w:val="009E2943"/>
    <w:rsid w:val="009E480A"/>
    <w:rsid w:val="009E6533"/>
    <w:rsid w:val="009F0A1A"/>
    <w:rsid w:val="009F2B9F"/>
    <w:rsid w:val="009F3C65"/>
    <w:rsid w:val="009F45BC"/>
    <w:rsid w:val="009F703C"/>
    <w:rsid w:val="00A00FA4"/>
    <w:rsid w:val="00A015EB"/>
    <w:rsid w:val="00A04DA2"/>
    <w:rsid w:val="00A05AAC"/>
    <w:rsid w:val="00A07EB4"/>
    <w:rsid w:val="00A106B6"/>
    <w:rsid w:val="00A11751"/>
    <w:rsid w:val="00A13026"/>
    <w:rsid w:val="00A14C88"/>
    <w:rsid w:val="00A155A3"/>
    <w:rsid w:val="00A20AC7"/>
    <w:rsid w:val="00A20DE4"/>
    <w:rsid w:val="00A22078"/>
    <w:rsid w:val="00A2209B"/>
    <w:rsid w:val="00A254E0"/>
    <w:rsid w:val="00A26B32"/>
    <w:rsid w:val="00A3107B"/>
    <w:rsid w:val="00A311EE"/>
    <w:rsid w:val="00A34088"/>
    <w:rsid w:val="00A34D2E"/>
    <w:rsid w:val="00A35B64"/>
    <w:rsid w:val="00A36686"/>
    <w:rsid w:val="00A36941"/>
    <w:rsid w:val="00A36FE4"/>
    <w:rsid w:val="00A40073"/>
    <w:rsid w:val="00A42908"/>
    <w:rsid w:val="00A440A4"/>
    <w:rsid w:val="00A44D6A"/>
    <w:rsid w:val="00A44E79"/>
    <w:rsid w:val="00A45DDD"/>
    <w:rsid w:val="00A5406B"/>
    <w:rsid w:val="00A55963"/>
    <w:rsid w:val="00A60CCB"/>
    <w:rsid w:val="00A63A52"/>
    <w:rsid w:val="00A640D2"/>
    <w:rsid w:val="00A64D62"/>
    <w:rsid w:val="00A65A5C"/>
    <w:rsid w:val="00A675B6"/>
    <w:rsid w:val="00A71249"/>
    <w:rsid w:val="00A7178F"/>
    <w:rsid w:val="00A729D4"/>
    <w:rsid w:val="00A729EF"/>
    <w:rsid w:val="00A72C7F"/>
    <w:rsid w:val="00A7594A"/>
    <w:rsid w:val="00A76E52"/>
    <w:rsid w:val="00A772EC"/>
    <w:rsid w:val="00A800CF"/>
    <w:rsid w:val="00A80D01"/>
    <w:rsid w:val="00A80DB5"/>
    <w:rsid w:val="00A83446"/>
    <w:rsid w:val="00A83E97"/>
    <w:rsid w:val="00A84964"/>
    <w:rsid w:val="00A84AF3"/>
    <w:rsid w:val="00A85403"/>
    <w:rsid w:val="00A87DD7"/>
    <w:rsid w:val="00A9026A"/>
    <w:rsid w:val="00A90DD6"/>
    <w:rsid w:val="00A95AEC"/>
    <w:rsid w:val="00A97E6B"/>
    <w:rsid w:val="00AA0078"/>
    <w:rsid w:val="00AA11FA"/>
    <w:rsid w:val="00AA128A"/>
    <w:rsid w:val="00AA22F0"/>
    <w:rsid w:val="00AA2AFE"/>
    <w:rsid w:val="00AA302B"/>
    <w:rsid w:val="00AA5303"/>
    <w:rsid w:val="00AB09A1"/>
    <w:rsid w:val="00AB0DEE"/>
    <w:rsid w:val="00AB13D1"/>
    <w:rsid w:val="00AB1F25"/>
    <w:rsid w:val="00AB47DC"/>
    <w:rsid w:val="00AC1E31"/>
    <w:rsid w:val="00AC2161"/>
    <w:rsid w:val="00AC45E1"/>
    <w:rsid w:val="00AC72FA"/>
    <w:rsid w:val="00AD4E79"/>
    <w:rsid w:val="00AD7003"/>
    <w:rsid w:val="00AD7548"/>
    <w:rsid w:val="00AD7792"/>
    <w:rsid w:val="00AE6794"/>
    <w:rsid w:val="00AE6E78"/>
    <w:rsid w:val="00AE7CFC"/>
    <w:rsid w:val="00AF0E85"/>
    <w:rsid w:val="00AF10DF"/>
    <w:rsid w:val="00AF1768"/>
    <w:rsid w:val="00AF2676"/>
    <w:rsid w:val="00AF2E0D"/>
    <w:rsid w:val="00AF3FEB"/>
    <w:rsid w:val="00AF55E6"/>
    <w:rsid w:val="00AF565E"/>
    <w:rsid w:val="00AF5E34"/>
    <w:rsid w:val="00AF5F83"/>
    <w:rsid w:val="00AF6414"/>
    <w:rsid w:val="00AF6D63"/>
    <w:rsid w:val="00AF6DD3"/>
    <w:rsid w:val="00AF6E58"/>
    <w:rsid w:val="00AF6F4C"/>
    <w:rsid w:val="00B0112D"/>
    <w:rsid w:val="00B01234"/>
    <w:rsid w:val="00B1465C"/>
    <w:rsid w:val="00B1527C"/>
    <w:rsid w:val="00B16090"/>
    <w:rsid w:val="00B1633D"/>
    <w:rsid w:val="00B170A5"/>
    <w:rsid w:val="00B20097"/>
    <w:rsid w:val="00B231F2"/>
    <w:rsid w:val="00B259AA"/>
    <w:rsid w:val="00B25CE0"/>
    <w:rsid w:val="00B26D2B"/>
    <w:rsid w:val="00B274E0"/>
    <w:rsid w:val="00B30388"/>
    <w:rsid w:val="00B306BB"/>
    <w:rsid w:val="00B31945"/>
    <w:rsid w:val="00B334A5"/>
    <w:rsid w:val="00B34837"/>
    <w:rsid w:val="00B349CB"/>
    <w:rsid w:val="00B3577A"/>
    <w:rsid w:val="00B35F10"/>
    <w:rsid w:val="00B366E6"/>
    <w:rsid w:val="00B3776A"/>
    <w:rsid w:val="00B378C6"/>
    <w:rsid w:val="00B37906"/>
    <w:rsid w:val="00B44E0D"/>
    <w:rsid w:val="00B44E3D"/>
    <w:rsid w:val="00B45BEB"/>
    <w:rsid w:val="00B509BA"/>
    <w:rsid w:val="00B52BA5"/>
    <w:rsid w:val="00B53AD3"/>
    <w:rsid w:val="00B57247"/>
    <w:rsid w:val="00B57C47"/>
    <w:rsid w:val="00B6392A"/>
    <w:rsid w:val="00B646EE"/>
    <w:rsid w:val="00B6779A"/>
    <w:rsid w:val="00B70395"/>
    <w:rsid w:val="00B70A52"/>
    <w:rsid w:val="00B71038"/>
    <w:rsid w:val="00B71F3D"/>
    <w:rsid w:val="00B723FC"/>
    <w:rsid w:val="00B73291"/>
    <w:rsid w:val="00B764B4"/>
    <w:rsid w:val="00B805E2"/>
    <w:rsid w:val="00B80D23"/>
    <w:rsid w:val="00B85D32"/>
    <w:rsid w:val="00B86CD1"/>
    <w:rsid w:val="00B87310"/>
    <w:rsid w:val="00B90DC4"/>
    <w:rsid w:val="00B90F25"/>
    <w:rsid w:val="00B959E5"/>
    <w:rsid w:val="00B96B5D"/>
    <w:rsid w:val="00BA3849"/>
    <w:rsid w:val="00BA7820"/>
    <w:rsid w:val="00BB008E"/>
    <w:rsid w:val="00BB1DCB"/>
    <w:rsid w:val="00BB637B"/>
    <w:rsid w:val="00BC54FD"/>
    <w:rsid w:val="00BC6ECB"/>
    <w:rsid w:val="00BC6F0F"/>
    <w:rsid w:val="00BC6FD5"/>
    <w:rsid w:val="00BD0BF8"/>
    <w:rsid w:val="00BD19DE"/>
    <w:rsid w:val="00BD20DF"/>
    <w:rsid w:val="00BD3627"/>
    <w:rsid w:val="00BD3FD4"/>
    <w:rsid w:val="00BD4549"/>
    <w:rsid w:val="00BD5F8A"/>
    <w:rsid w:val="00BE0F78"/>
    <w:rsid w:val="00BE2570"/>
    <w:rsid w:val="00BE55A9"/>
    <w:rsid w:val="00BE6EB1"/>
    <w:rsid w:val="00BE71C9"/>
    <w:rsid w:val="00BF1A63"/>
    <w:rsid w:val="00BF22E0"/>
    <w:rsid w:val="00BF2357"/>
    <w:rsid w:val="00BF4531"/>
    <w:rsid w:val="00BF4CBA"/>
    <w:rsid w:val="00BF4E7E"/>
    <w:rsid w:val="00C01631"/>
    <w:rsid w:val="00C0279E"/>
    <w:rsid w:val="00C02989"/>
    <w:rsid w:val="00C02D77"/>
    <w:rsid w:val="00C03E08"/>
    <w:rsid w:val="00C04329"/>
    <w:rsid w:val="00C04764"/>
    <w:rsid w:val="00C04D1A"/>
    <w:rsid w:val="00C05D9C"/>
    <w:rsid w:val="00C075A6"/>
    <w:rsid w:val="00C077BB"/>
    <w:rsid w:val="00C10231"/>
    <w:rsid w:val="00C1072A"/>
    <w:rsid w:val="00C11166"/>
    <w:rsid w:val="00C165DB"/>
    <w:rsid w:val="00C16BEB"/>
    <w:rsid w:val="00C215FE"/>
    <w:rsid w:val="00C2424F"/>
    <w:rsid w:val="00C24CBC"/>
    <w:rsid w:val="00C25BDF"/>
    <w:rsid w:val="00C2600E"/>
    <w:rsid w:val="00C26DD4"/>
    <w:rsid w:val="00C30798"/>
    <w:rsid w:val="00C31E6D"/>
    <w:rsid w:val="00C32245"/>
    <w:rsid w:val="00C33290"/>
    <w:rsid w:val="00C335DB"/>
    <w:rsid w:val="00C35327"/>
    <w:rsid w:val="00C3777B"/>
    <w:rsid w:val="00C43026"/>
    <w:rsid w:val="00C430C8"/>
    <w:rsid w:val="00C44369"/>
    <w:rsid w:val="00C474F0"/>
    <w:rsid w:val="00C517A1"/>
    <w:rsid w:val="00C52F1B"/>
    <w:rsid w:val="00C56128"/>
    <w:rsid w:val="00C575B0"/>
    <w:rsid w:val="00C628EB"/>
    <w:rsid w:val="00C629EC"/>
    <w:rsid w:val="00C62DA2"/>
    <w:rsid w:val="00C6670E"/>
    <w:rsid w:val="00C66994"/>
    <w:rsid w:val="00C66AE5"/>
    <w:rsid w:val="00C66C53"/>
    <w:rsid w:val="00C66C6B"/>
    <w:rsid w:val="00C70ABE"/>
    <w:rsid w:val="00C7103E"/>
    <w:rsid w:val="00C7223B"/>
    <w:rsid w:val="00C777B4"/>
    <w:rsid w:val="00C803AF"/>
    <w:rsid w:val="00C822AD"/>
    <w:rsid w:val="00C95336"/>
    <w:rsid w:val="00C95DA7"/>
    <w:rsid w:val="00C9664D"/>
    <w:rsid w:val="00C96B34"/>
    <w:rsid w:val="00C972AC"/>
    <w:rsid w:val="00CA0F2D"/>
    <w:rsid w:val="00CA388A"/>
    <w:rsid w:val="00CA4E8F"/>
    <w:rsid w:val="00CA72DA"/>
    <w:rsid w:val="00CA77F6"/>
    <w:rsid w:val="00CB4BAB"/>
    <w:rsid w:val="00CB74C0"/>
    <w:rsid w:val="00CC039D"/>
    <w:rsid w:val="00CC2DEA"/>
    <w:rsid w:val="00CC6D99"/>
    <w:rsid w:val="00CD0687"/>
    <w:rsid w:val="00CD20E3"/>
    <w:rsid w:val="00CD220C"/>
    <w:rsid w:val="00CD499E"/>
    <w:rsid w:val="00CD4B54"/>
    <w:rsid w:val="00CE0DC0"/>
    <w:rsid w:val="00CE0E44"/>
    <w:rsid w:val="00CE15A9"/>
    <w:rsid w:val="00CE2C5B"/>
    <w:rsid w:val="00CE35EE"/>
    <w:rsid w:val="00CF2D78"/>
    <w:rsid w:val="00CF59BC"/>
    <w:rsid w:val="00D01E92"/>
    <w:rsid w:val="00D04D4E"/>
    <w:rsid w:val="00D053F7"/>
    <w:rsid w:val="00D11059"/>
    <w:rsid w:val="00D12041"/>
    <w:rsid w:val="00D14FE4"/>
    <w:rsid w:val="00D15F1D"/>
    <w:rsid w:val="00D1699D"/>
    <w:rsid w:val="00D20D4E"/>
    <w:rsid w:val="00D22D97"/>
    <w:rsid w:val="00D2305A"/>
    <w:rsid w:val="00D24170"/>
    <w:rsid w:val="00D24CE6"/>
    <w:rsid w:val="00D259E0"/>
    <w:rsid w:val="00D2654D"/>
    <w:rsid w:val="00D27D3D"/>
    <w:rsid w:val="00D30BBB"/>
    <w:rsid w:val="00D32A4D"/>
    <w:rsid w:val="00D36614"/>
    <w:rsid w:val="00D40BC2"/>
    <w:rsid w:val="00D40E39"/>
    <w:rsid w:val="00D4514A"/>
    <w:rsid w:val="00D45A92"/>
    <w:rsid w:val="00D464F0"/>
    <w:rsid w:val="00D4776B"/>
    <w:rsid w:val="00D47952"/>
    <w:rsid w:val="00D47ADD"/>
    <w:rsid w:val="00D51539"/>
    <w:rsid w:val="00D518C6"/>
    <w:rsid w:val="00D535D5"/>
    <w:rsid w:val="00D60525"/>
    <w:rsid w:val="00D60F2A"/>
    <w:rsid w:val="00D61FE0"/>
    <w:rsid w:val="00D627CB"/>
    <w:rsid w:val="00D62CBA"/>
    <w:rsid w:val="00D634D7"/>
    <w:rsid w:val="00D642BC"/>
    <w:rsid w:val="00D64D49"/>
    <w:rsid w:val="00D657F3"/>
    <w:rsid w:val="00D6745F"/>
    <w:rsid w:val="00D6752C"/>
    <w:rsid w:val="00D67C3B"/>
    <w:rsid w:val="00D70DE8"/>
    <w:rsid w:val="00D7158A"/>
    <w:rsid w:val="00D716F3"/>
    <w:rsid w:val="00D7254A"/>
    <w:rsid w:val="00D72A12"/>
    <w:rsid w:val="00D74666"/>
    <w:rsid w:val="00D7588B"/>
    <w:rsid w:val="00D75FDC"/>
    <w:rsid w:val="00D76964"/>
    <w:rsid w:val="00D77385"/>
    <w:rsid w:val="00D779D6"/>
    <w:rsid w:val="00D8368E"/>
    <w:rsid w:val="00D86F20"/>
    <w:rsid w:val="00D9299C"/>
    <w:rsid w:val="00D969EC"/>
    <w:rsid w:val="00DA027B"/>
    <w:rsid w:val="00DA0CCE"/>
    <w:rsid w:val="00DA0E79"/>
    <w:rsid w:val="00DA2BF1"/>
    <w:rsid w:val="00DA3C01"/>
    <w:rsid w:val="00DA601F"/>
    <w:rsid w:val="00DA6FD5"/>
    <w:rsid w:val="00DB0DAF"/>
    <w:rsid w:val="00DB33DC"/>
    <w:rsid w:val="00DB7439"/>
    <w:rsid w:val="00DC18E2"/>
    <w:rsid w:val="00DC196C"/>
    <w:rsid w:val="00DC1E28"/>
    <w:rsid w:val="00DC250C"/>
    <w:rsid w:val="00DC5E40"/>
    <w:rsid w:val="00DC6ADE"/>
    <w:rsid w:val="00DC6BEA"/>
    <w:rsid w:val="00DD43EC"/>
    <w:rsid w:val="00DE28AA"/>
    <w:rsid w:val="00DE2D2A"/>
    <w:rsid w:val="00DE3C03"/>
    <w:rsid w:val="00DE4493"/>
    <w:rsid w:val="00DE4557"/>
    <w:rsid w:val="00DE48FA"/>
    <w:rsid w:val="00DE6003"/>
    <w:rsid w:val="00DE7454"/>
    <w:rsid w:val="00DF0463"/>
    <w:rsid w:val="00DF1769"/>
    <w:rsid w:val="00DF1D1F"/>
    <w:rsid w:val="00DF1D33"/>
    <w:rsid w:val="00DF27CA"/>
    <w:rsid w:val="00DF39AC"/>
    <w:rsid w:val="00DF4A2E"/>
    <w:rsid w:val="00DF5289"/>
    <w:rsid w:val="00DF5B9A"/>
    <w:rsid w:val="00DF74A5"/>
    <w:rsid w:val="00E02292"/>
    <w:rsid w:val="00E02F97"/>
    <w:rsid w:val="00E0305D"/>
    <w:rsid w:val="00E035DE"/>
    <w:rsid w:val="00E040A5"/>
    <w:rsid w:val="00E06726"/>
    <w:rsid w:val="00E07968"/>
    <w:rsid w:val="00E1016C"/>
    <w:rsid w:val="00E12272"/>
    <w:rsid w:val="00E124EB"/>
    <w:rsid w:val="00E124F3"/>
    <w:rsid w:val="00E127AF"/>
    <w:rsid w:val="00E130E3"/>
    <w:rsid w:val="00E149D9"/>
    <w:rsid w:val="00E14E41"/>
    <w:rsid w:val="00E153F9"/>
    <w:rsid w:val="00E20D08"/>
    <w:rsid w:val="00E21382"/>
    <w:rsid w:val="00E22B56"/>
    <w:rsid w:val="00E246E5"/>
    <w:rsid w:val="00E248AA"/>
    <w:rsid w:val="00E255FF"/>
    <w:rsid w:val="00E2791E"/>
    <w:rsid w:val="00E30B5C"/>
    <w:rsid w:val="00E30E94"/>
    <w:rsid w:val="00E327B3"/>
    <w:rsid w:val="00E32B77"/>
    <w:rsid w:val="00E3307C"/>
    <w:rsid w:val="00E33ADC"/>
    <w:rsid w:val="00E34945"/>
    <w:rsid w:val="00E35207"/>
    <w:rsid w:val="00E36459"/>
    <w:rsid w:val="00E4071C"/>
    <w:rsid w:val="00E45CC7"/>
    <w:rsid w:val="00E46E4F"/>
    <w:rsid w:val="00E47BD1"/>
    <w:rsid w:val="00E501CD"/>
    <w:rsid w:val="00E506AC"/>
    <w:rsid w:val="00E536E9"/>
    <w:rsid w:val="00E543D8"/>
    <w:rsid w:val="00E551FE"/>
    <w:rsid w:val="00E5571B"/>
    <w:rsid w:val="00E55CF9"/>
    <w:rsid w:val="00E563C2"/>
    <w:rsid w:val="00E57D3E"/>
    <w:rsid w:val="00E60A18"/>
    <w:rsid w:val="00E60CF9"/>
    <w:rsid w:val="00E6113E"/>
    <w:rsid w:val="00E6194A"/>
    <w:rsid w:val="00E61A65"/>
    <w:rsid w:val="00E6281E"/>
    <w:rsid w:val="00E639EA"/>
    <w:rsid w:val="00E643EC"/>
    <w:rsid w:val="00E66EAA"/>
    <w:rsid w:val="00E70DFF"/>
    <w:rsid w:val="00E714D7"/>
    <w:rsid w:val="00E72F40"/>
    <w:rsid w:val="00E73909"/>
    <w:rsid w:val="00E745FC"/>
    <w:rsid w:val="00E74D3B"/>
    <w:rsid w:val="00E766CA"/>
    <w:rsid w:val="00E7720E"/>
    <w:rsid w:val="00E803A1"/>
    <w:rsid w:val="00E8150E"/>
    <w:rsid w:val="00E83C4F"/>
    <w:rsid w:val="00E87360"/>
    <w:rsid w:val="00E901DB"/>
    <w:rsid w:val="00E90AD2"/>
    <w:rsid w:val="00E90C4C"/>
    <w:rsid w:val="00E92B50"/>
    <w:rsid w:val="00E958FB"/>
    <w:rsid w:val="00E96DA6"/>
    <w:rsid w:val="00EA043F"/>
    <w:rsid w:val="00EA146A"/>
    <w:rsid w:val="00EA4DB5"/>
    <w:rsid w:val="00EA747A"/>
    <w:rsid w:val="00EB076A"/>
    <w:rsid w:val="00EB0A16"/>
    <w:rsid w:val="00EB118E"/>
    <w:rsid w:val="00EB13EF"/>
    <w:rsid w:val="00EB405A"/>
    <w:rsid w:val="00EB6BCD"/>
    <w:rsid w:val="00EB77EC"/>
    <w:rsid w:val="00EC0697"/>
    <w:rsid w:val="00EC40A8"/>
    <w:rsid w:val="00EC57AE"/>
    <w:rsid w:val="00ED03D8"/>
    <w:rsid w:val="00ED0458"/>
    <w:rsid w:val="00ED0FC6"/>
    <w:rsid w:val="00ED3387"/>
    <w:rsid w:val="00ED3E80"/>
    <w:rsid w:val="00ED5839"/>
    <w:rsid w:val="00ED6BF8"/>
    <w:rsid w:val="00ED6D58"/>
    <w:rsid w:val="00EE0E91"/>
    <w:rsid w:val="00EE12DF"/>
    <w:rsid w:val="00EE345F"/>
    <w:rsid w:val="00EE3830"/>
    <w:rsid w:val="00EE6B99"/>
    <w:rsid w:val="00EE7BD6"/>
    <w:rsid w:val="00EF057B"/>
    <w:rsid w:val="00EF1004"/>
    <w:rsid w:val="00EF41FD"/>
    <w:rsid w:val="00EF5E3D"/>
    <w:rsid w:val="00EF6636"/>
    <w:rsid w:val="00EF6EBE"/>
    <w:rsid w:val="00F051D2"/>
    <w:rsid w:val="00F10F0C"/>
    <w:rsid w:val="00F13B25"/>
    <w:rsid w:val="00F16B5B"/>
    <w:rsid w:val="00F16C77"/>
    <w:rsid w:val="00F20368"/>
    <w:rsid w:val="00F205A3"/>
    <w:rsid w:val="00F22375"/>
    <w:rsid w:val="00F23DFC"/>
    <w:rsid w:val="00F248D1"/>
    <w:rsid w:val="00F25554"/>
    <w:rsid w:val="00F27431"/>
    <w:rsid w:val="00F27B2B"/>
    <w:rsid w:val="00F338E1"/>
    <w:rsid w:val="00F341CA"/>
    <w:rsid w:val="00F346E7"/>
    <w:rsid w:val="00F34CAE"/>
    <w:rsid w:val="00F37AB9"/>
    <w:rsid w:val="00F403BC"/>
    <w:rsid w:val="00F43989"/>
    <w:rsid w:val="00F44ECC"/>
    <w:rsid w:val="00F52D6E"/>
    <w:rsid w:val="00F55443"/>
    <w:rsid w:val="00F60817"/>
    <w:rsid w:val="00F60CA5"/>
    <w:rsid w:val="00F61E26"/>
    <w:rsid w:val="00F65368"/>
    <w:rsid w:val="00F65E17"/>
    <w:rsid w:val="00F66332"/>
    <w:rsid w:val="00F706D0"/>
    <w:rsid w:val="00F7127E"/>
    <w:rsid w:val="00F73AA6"/>
    <w:rsid w:val="00F73FAF"/>
    <w:rsid w:val="00F744C1"/>
    <w:rsid w:val="00F74EC1"/>
    <w:rsid w:val="00F76412"/>
    <w:rsid w:val="00F8095D"/>
    <w:rsid w:val="00F81B4C"/>
    <w:rsid w:val="00F825AF"/>
    <w:rsid w:val="00F83E43"/>
    <w:rsid w:val="00F85CFE"/>
    <w:rsid w:val="00F85F3A"/>
    <w:rsid w:val="00F869C1"/>
    <w:rsid w:val="00F877DE"/>
    <w:rsid w:val="00F90967"/>
    <w:rsid w:val="00F9175D"/>
    <w:rsid w:val="00F91991"/>
    <w:rsid w:val="00F93603"/>
    <w:rsid w:val="00FA2247"/>
    <w:rsid w:val="00FA24DB"/>
    <w:rsid w:val="00FA3501"/>
    <w:rsid w:val="00FB03BB"/>
    <w:rsid w:val="00FB04B7"/>
    <w:rsid w:val="00FB0B34"/>
    <w:rsid w:val="00FB2746"/>
    <w:rsid w:val="00FB298D"/>
    <w:rsid w:val="00FB29C2"/>
    <w:rsid w:val="00FB339C"/>
    <w:rsid w:val="00FC02F2"/>
    <w:rsid w:val="00FC2A6E"/>
    <w:rsid w:val="00FC4FA5"/>
    <w:rsid w:val="00FC6F97"/>
    <w:rsid w:val="00FC715E"/>
    <w:rsid w:val="00FD02EC"/>
    <w:rsid w:val="00FD04AB"/>
    <w:rsid w:val="00FD2A03"/>
    <w:rsid w:val="00FD3619"/>
    <w:rsid w:val="00FD59C4"/>
    <w:rsid w:val="00FD616A"/>
    <w:rsid w:val="00FD6744"/>
    <w:rsid w:val="00FD784E"/>
    <w:rsid w:val="00FE07CE"/>
    <w:rsid w:val="00FE18EA"/>
    <w:rsid w:val="00FE33E2"/>
    <w:rsid w:val="00FE42C7"/>
    <w:rsid w:val="00FF0136"/>
    <w:rsid w:val="00FF01DB"/>
    <w:rsid w:val="00FF1FDB"/>
    <w:rsid w:val="00FF2E27"/>
    <w:rsid w:val="00FF4642"/>
    <w:rsid w:val="00FF596E"/>
    <w:rsid w:val="00FF686E"/>
    <w:rsid w:val="00FF6DBB"/>
    <w:rsid w:val="00FF7854"/>
    <w:rsid w:val="00FF7B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3961D18D"/>
  <w15:docId w15:val="{27FA003D-175A-4E4C-A7C0-7DE569D2C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95E"/>
    <w:pPr>
      <w:overflowPunct w:val="0"/>
      <w:autoSpaceDE w:val="0"/>
      <w:autoSpaceDN w:val="0"/>
      <w:adjustRightInd w:val="0"/>
      <w:textAlignment w:val="baseline"/>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4495E"/>
    <w:pPr>
      <w:tabs>
        <w:tab w:val="center" w:pos="4320"/>
        <w:tab w:val="right" w:pos="8640"/>
      </w:tabs>
    </w:pPr>
  </w:style>
  <w:style w:type="character" w:customStyle="1" w:styleId="HeaderChar">
    <w:name w:val="Header Char"/>
    <w:link w:val="Header"/>
    <w:uiPriority w:val="99"/>
    <w:semiHidden/>
    <w:rsid w:val="00905E65"/>
    <w:rPr>
      <w:sz w:val="20"/>
      <w:szCs w:val="20"/>
    </w:rPr>
  </w:style>
  <w:style w:type="paragraph" w:styleId="Footer">
    <w:name w:val="footer"/>
    <w:basedOn w:val="Normal"/>
    <w:link w:val="FooterChar"/>
    <w:uiPriority w:val="99"/>
    <w:rsid w:val="0094495E"/>
    <w:pPr>
      <w:tabs>
        <w:tab w:val="center" w:pos="4320"/>
        <w:tab w:val="right" w:pos="8640"/>
      </w:tabs>
    </w:pPr>
  </w:style>
  <w:style w:type="character" w:customStyle="1" w:styleId="FooterChar">
    <w:name w:val="Footer Char"/>
    <w:link w:val="Footer"/>
    <w:uiPriority w:val="99"/>
    <w:semiHidden/>
    <w:rsid w:val="00905E65"/>
    <w:rPr>
      <w:sz w:val="20"/>
      <w:szCs w:val="20"/>
    </w:rPr>
  </w:style>
  <w:style w:type="paragraph" w:customStyle="1" w:styleId="GenInst">
    <w:name w:val="Gen Inst"/>
    <w:basedOn w:val="Normal"/>
    <w:uiPriority w:val="99"/>
    <w:rsid w:val="009C540A"/>
    <w:pPr>
      <w:overflowPunct/>
      <w:autoSpaceDE/>
      <w:autoSpaceDN/>
      <w:adjustRightInd/>
      <w:spacing w:line="360" w:lineRule="auto"/>
      <w:ind w:left="720"/>
      <w:jc w:val="both"/>
      <w:textAlignment w:val="auto"/>
    </w:pPr>
    <w:rPr>
      <w:sz w:val="24"/>
      <w:szCs w:val="24"/>
    </w:rPr>
  </w:style>
  <w:style w:type="paragraph" w:styleId="FootnoteText">
    <w:name w:val="footnote text"/>
    <w:basedOn w:val="Normal"/>
    <w:link w:val="FootnoteTextChar"/>
    <w:uiPriority w:val="99"/>
    <w:semiHidden/>
    <w:rsid w:val="00517452"/>
  </w:style>
  <w:style w:type="character" w:customStyle="1" w:styleId="FootnoteTextChar">
    <w:name w:val="Footnote Text Char"/>
    <w:link w:val="FootnoteText"/>
    <w:uiPriority w:val="99"/>
    <w:semiHidden/>
    <w:rsid w:val="00905E65"/>
    <w:rPr>
      <w:sz w:val="20"/>
      <w:szCs w:val="20"/>
    </w:rPr>
  </w:style>
  <w:style w:type="character" w:styleId="FootnoteReference">
    <w:name w:val="footnote reference"/>
    <w:uiPriority w:val="99"/>
    <w:semiHidden/>
    <w:rsid w:val="00517452"/>
    <w:rPr>
      <w:vertAlign w:val="superscript"/>
    </w:rPr>
  </w:style>
  <w:style w:type="character" w:styleId="PageNumber">
    <w:name w:val="page number"/>
    <w:basedOn w:val="DefaultParagraphFont"/>
    <w:uiPriority w:val="99"/>
    <w:rsid w:val="0006621B"/>
  </w:style>
  <w:style w:type="paragraph" w:styleId="BalloonText">
    <w:name w:val="Balloon Text"/>
    <w:basedOn w:val="Normal"/>
    <w:link w:val="BalloonTextChar"/>
    <w:uiPriority w:val="99"/>
    <w:semiHidden/>
    <w:unhideWhenUsed/>
    <w:rsid w:val="00912C10"/>
    <w:rPr>
      <w:rFonts w:ascii="Segoe UI" w:hAnsi="Segoe UI" w:cs="Segoe UI"/>
      <w:sz w:val="18"/>
      <w:szCs w:val="18"/>
    </w:rPr>
  </w:style>
  <w:style w:type="character" w:customStyle="1" w:styleId="BalloonTextChar">
    <w:name w:val="Balloon Text Char"/>
    <w:link w:val="BalloonText"/>
    <w:uiPriority w:val="99"/>
    <w:semiHidden/>
    <w:rsid w:val="00912C10"/>
    <w:rPr>
      <w:rFonts w:ascii="Segoe UI" w:hAnsi="Segoe UI" w:cs="Segoe UI"/>
      <w:sz w:val="18"/>
      <w:szCs w:val="18"/>
    </w:rPr>
  </w:style>
  <w:style w:type="character" w:styleId="Hyperlink">
    <w:name w:val="Hyperlink"/>
    <w:uiPriority w:val="99"/>
    <w:unhideWhenUsed/>
    <w:rsid w:val="00A800CF"/>
    <w:rPr>
      <w:color w:val="0000FF"/>
      <w:u w:val="single"/>
    </w:rPr>
  </w:style>
  <w:style w:type="table" w:styleId="TableGrid">
    <w:name w:val="Table Grid"/>
    <w:basedOn w:val="TableNormal"/>
    <w:uiPriority w:val="39"/>
    <w:locked/>
    <w:rsid w:val="00BD19D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BE0F78"/>
    <w:rPr>
      <w:sz w:val="16"/>
      <w:szCs w:val="16"/>
    </w:rPr>
  </w:style>
  <w:style w:type="paragraph" w:styleId="CommentText">
    <w:name w:val="annotation text"/>
    <w:basedOn w:val="Normal"/>
    <w:link w:val="CommentTextChar"/>
    <w:uiPriority w:val="99"/>
    <w:semiHidden/>
    <w:unhideWhenUsed/>
    <w:rsid w:val="00BE0F78"/>
  </w:style>
  <w:style w:type="character" w:customStyle="1" w:styleId="CommentTextChar">
    <w:name w:val="Comment Text Char"/>
    <w:basedOn w:val="DefaultParagraphFont"/>
    <w:link w:val="CommentText"/>
    <w:uiPriority w:val="99"/>
    <w:semiHidden/>
    <w:rsid w:val="00BE0F78"/>
  </w:style>
  <w:style w:type="paragraph" w:styleId="CommentSubject">
    <w:name w:val="annotation subject"/>
    <w:basedOn w:val="CommentText"/>
    <w:next w:val="CommentText"/>
    <w:link w:val="CommentSubjectChar"/>
    <w:uiPriority w:val="99"/>
    <w:semiHidden/>
    <w:unhideWhenUsed/>
    <w:rsid w:val="00BE0F78"/>
    <w:rPr>
      <w:b/>
      <w:bCs/>
    </w:rPr>
  </w:style>
  <w:style w:type="character" w:customStyle="1" w:styleId="CommentSubjectChar">
    <w:name w:val="Comment Subject Char"/>
    <w:link w:val="CommentSubject"/>
    <w:uiPriority w:val="99"/>
    <w:semiHidden/>
    <w:rsid w:val="00BE0F78"/>
    <w:rPr>
      <w:b/>
      <w:bCs/>
    </w:rPr>
  </w:style>
  <w:style w:type="character" w:styleId="FollowedHyperlink">
    <w:name w:val="FollowedHyperlink"/>
    <w:uiPriority w:val="99"/>
    <w:semiHidden/>
    <w:unhideWhenUsed/>
    <w:rsid w:val="00C96B34"/>
    <w:rPr>
      <w:color w:val="800080"/>
      <w:u w:val="single"/>
    </w:rPr>
  </w:style>
  <w:style w:type="paragraph" w:styleId="Revision">
    <w:name w:val="Revision"/>
    <w:hidden/>
    <w:uiPriority w:val="99"/>
    <w:semiHidden/>
    <w:rsid w:val="00D969EC"/>
  </w:style>
  <w:style w:type="paragraph" w:styleId="ListParagraph">
    <w:name w:val="List Paragraph"/>
    <w:basedOn w:val="Normal"/>
    <w:uiPriority w:val="34"/>
    <w:qFormat/>
    <w:rsid w:val="000F747B"/>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053676">
      <w:marLeft w:val="0"/>
      <w:marRight w:val="0"/>
      <w:marTop w:val="0"/>
      <w:marBottom w:val="0"/>
      <w:divBdr>
        <w:top w:val="none" w:sz="0" w:space="0" w:color="auto"/>
        <w:left w:val="none" w:sz="0" w:space="0" w:color="auto"/>
        <w:bottom w:val="none" w:sz="0" w:space="0" w:color="auto"/>
        <w:right w:val="none" w:sz="0" w:space="0" w:color="auto"/>
      </w:divBdr>
    </w:div>
    <w:div w:id="916550624">
      <w:bodyDiv w:val="1"/>
      <w:marLeft w:val="0"/>
      <w:marRight w:val="0"/>
      <w:marTop w:val="0"/>
      <w:marBottom w:val="0"/>
      <w:divBdr>
        <w:top w:val="none" w:sz="0" w:space="0" w:color="auto"/>
        <w:left w:val="none" w:sz="0" w:space="0" w:color="auto"/>
        <w:bottom w:val="none" w:sz="0" w:space="0" w:color="auto"/>
        <w:right w:val="none" w:sz="0" w:space="0" w:color="auto"/>
      </w:divBdr>
    </w:div>
    <w:div w:id="953055000">
      <w:bodyDiv w:val="1"/>
      <w:marLeft w:val="0"/>
      <w:marRight w:val="0"/>
      <w:marTop w:val="0"/>
      <w:marBottom w:val="0"/>
      <w:divBdr>
        <w:top w:val="none" w:sz="0" w:space="0" w:color="auto"/>
        <w:left w:val="none" w:sz="0" w:space="0" w:color="auto"/>
        <w:bottom w:val="none" w:sz="0" w:space="0" w:color="auto"/>
        <w:right w:val="none" w:sz="0" w:space="0" w:color="auto"/>
      </w:divBdr>
    </w:div>
    <w:div w:id="1197427495">
      <w:bodyDiv w:val="1"/>
      <w:marLeft w:val="0"/>
      <w:marRight w:val="0"/>
      <w:marTop w:val="0"/>
      <w:marBottom w:val="0"/>
      <w:divBdr>
        <w:top w:val="none" w:sz="0" w:space="0" w:color="auto"/>
        <w:left w:val="none" w:sz="0" w:space="0" w:color="auto"/>
        <w:bottom w:val="none" w:sz="0" w:space="0" w:color="auto"/>
        <w:right w:val="none" w:sz="0" w:space="0" w:color="auto"/>
      </w:divBdr>
    </w:div>
    <w:div w:id="1471362198">
      <w:bodyDiv w:val="1"/>
      <w:marLeft w:val="0"/>
      <w:marRight w:val="0"/>
      <w:marTop w:val="0"/>
      <w:marBottom w:val="0"/>
      <w:divBdr>
        <w:top w:val="none" w:sz="0" w:space="0" w:color="auto"/>
        <w:left w:val="none" w:sz="0" w:space="0" w:color="auto"/>
        <w:bottom w:val="none" w:sz="0" w:space="0" w:color="auto"/>
        <w:right w:val="none" w:sz="0" w:space="0" w:color="auto"/>
      </w:divBdr>
    </w:div>
    <w:div w:id="2141263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FFE0D9-CC3C-4B2B-8CC3-D807F40F8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702</Words>
  <Characters>3877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Darryl</dc:creator>
  <cp:keywords/>
  <dc:description/>
  <cp:lastModifiedBy>R. Floyd Walker</cp:lastModifiedBy>
  <cp:revision>3</cp:revision>
  <cp:lastPrinted>2022-02-10T18:07:00Z</cp:lastPrinted>
  <dcterms:created xsi:type="dcterms:W3CDTF">2022-02-16T14:55:00Z</dcterms:created>
  <dcterms:modified xsi:type="dcterms:W3CDTF">2022-02-16T14:56:00Z</dcterms:modified>
</cp:coreProperties>
</file>